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C72F4" w14:textId="51E36CD3" w:rsidR="002C65F4" w:rsidRPr="00513FC2" w:rsidRDefault="2FDC58C4" w:rsidP="00836151">
      <w:pPr>
        <w:spacing w:line="259" w:lineRule="auto"/>
        <w:rPr>
          <w:rFonts w:ascii="Arial" w:eastAsia="Times New Roman" w:hAnsi="Arial" w:cs="Arial"/>
          <w:sz w:val="20"/>
          <w:szCs w:val="20"/>
        </w:rPr>
      </w:pPr>
      <w:r w:rsidRPr="00513FC2">
        <w:rPr>
          <w:rFonts w:ascii="Arial" w:eastAsia="Times New Roman" w:hAnsi="Arial" w:cs="Arial"/>
          <w:sz w:val="20"/>
          <w:szCs w:val="20"/>
        </w:rPr>
        <w:t xml:space="preserve">  </w:t>
      </w:r>
    </w:p>
    <w:p w14:paraId="0A655F7C" w14:textId="340BD950" w:rsidR="002C65F4" w:rsidRPr="00513FC2" w:rsidRDefault="002C65F4" w:rsidP="00836151">
      <w:pPr>
        <w:tabs>
          <w:tab w:val="left" w:pos="7611"/>
        </w:tabs>
        <w:jc w:val="center"/>
        <w:rPr>
          <w:rFonts w:ascii="Arial" w:eastAsia="Times New Roman" w:hAnsi="Arial" w:cs="Arial"/>
          <w:sz w:val="20"/>
          <w:szCs w:val="20"/>
        </w:rPr>
      </w:pPr>
    </w:p>
    <w:p w14:paraId="27D4B303" w14:textId="68253CA6" w:rsidR="002C65F4" w:rsidRPr="00513FC2" w:rsidRDefault="009F2DEF" w:rsidP="00836151">
      <w:pPr>
        <w:jc w:val="center"/>
        <w:rPr>
          <w:rFonts w:ascii="Arial" w:eastAsia="Times New Roman" w:hAnsi="Arial" w:cs="Arial"/>
          <w:sz w:val="20"/>
          <w:szCs w:val="20"/>
        </w:rPr>
      </w:pPr>
      <w:r>
        <w:rPr>
          <w:rFonts w:ascii="Arial" w:eastAsia="Times New Roman" w:hAnsi="Arial" w:cs="Arial"/>
          <w:b/>
          <w:bCs/>
          <w:sz w:val="20"/>
          <w:szCs w:val="20"/>
        </w:rPr>
        <w:t>AUTARQUIA EDUCACIONAL DO BELO JARDIM - AEB</w:t>
      </w:r>
    </w:p>
    <w:p w14:paraId="2835DE46" w14:textId="1B2A1DD4" w:rsidR="002C65F4" w:rsidRPr="00513FC2" w:rsidRDefault="002C65F4" w:rsidP="00836151">
      <w:pPr>
        <w:jc w:val="center"/>
        <w:rPr>
          <w:rFonts w:ascii="Arial" w:eastAsia="Times New Roman" w:hAnsi="Arial" w:cs="Arial"/>
          <w:b/>
          <w:bCs/>
          <w:sz w:val="20"/>
          <w:szCs w:val="20"/>
        </w:rPr>
      </w:pPr>
    </w:p>
    <w:p w14:paraId="5D7A2D9D" w14:textId="77777777" w:rsidR="002C65F4" w:rsidRPr="00513FC2" w:rsidRDefault="002C65F4" w:rsidP="00836151">
      <w:pPr>
        <w:jc w:val="center"/>
        <w:rPr>
          <w:rFonts w:ascii="Arial" w:eastAsia="Times New Roman" w:hAnsi="Arial" w:cs="Arial"/>
          <w:b/>
          <w:sz w:val="20"/>
          <w:szCs w:val="20"/>
        </w:rPr>
      </w:pPr>
    </w:p>
    <w:p w14:paraId="3632FFA2" w14:textId="77777777" w:rsidR="00F57BCF" w:rsidRPr="00513FC2" w:rsidRDefault="00F57BCF" w:rsidP="00836151">
      <w:pPr>
        <w:jc w:val="center"/>
        <w:rPr>
          <w:rFonts w:ascii="Arial" w:eastAsia="Times New Roman" w:hAnsi="Arial" w:cs="Arial"/>
          <w:b/>
          <w:sz w:val="20"/>
          <w:szCs w:val="20"/>
        </w:rPr>
      </w:pPr>
    </w:p>
    <w:p w14:paraId="5D85AC16" w14:textId="77777777" w:rsidR="00F57BCF" w:rsidRPr="00513FC2" w:rsidRDefault="005E21A2" w:rsidP="00836151">
      <w:pPr>
        <w:jc w:val="center"/>
        <w:rPr>
          <w:rFonts w:ascii="Arial" w:eastAsia="Times New Roman" w:hAnsi="Arial" w:cs="Arial"/>
          <w:b/>
          <w:sz w:val="20"/>
          <w:szCs w:val="20"/>
        </w:rPr>
      </w:pPr>
      <w:r w:rsidRPr="00513FC2">
        <w:rPr>
          <w:rFonts w:ascii="Arial" w:eastAsia="Times New Roman" w:hAnsi="Arial" w:cs="Arial"/>
          <w:b/>
          <w:sz w:val="20"/>
          <w:szCs w:val="20"/>
        </w:rPr>
        <w:t>TERMO DE REFERÊNCIA</w:t>
      </w:r>
    </w:p>
    <w:p w14:paraId="479D5CFA" w14:textId="77777777" w:rsidR="00DD548F" w:rsidRPr="00513FC2" w:rsidRDefault="00DD548F" w:rsidP="00836151">
      <w:pPr>
        <w:jc w:val="center"/>
        <w:rPr>
          <w:rFonts w:ascii="Arial" w:eastAsia="Times New Roman" w:hAnsi="Arial" w:cs="Arial"/>
          <w:b/>
          <w:sz w:val="20"/>
          <w:szCs w:val="20"/>
        </w:rPr>
      </w:pPr>
    </w:p>
    <w:p w14:paraId="6C27B7B5" w14:textId="1CB0B427" w:rsidR="00F57BCF" w:rsidRPr="00513FC2" w:rsidRDefault="68D7CACC" w:rsidP="00836151">
      <w:pPr>
        <w:jc w:val="center"/>
        <w:rPr>
          <w:rFonts w:ascii="Arial" w:eastAsia="Times New Roman" w:hAnsi="Arial" w:cs="Arial"/>
          <w:b/>
          <w:bCs/>
          <w:sz w:val="20"/>
          <w:szCs w:val="20"/>
        </w:rPr>
      </w:pPr>
      <w:r w:rsidRPr="00513FC2">
        <w:rPr>
          <w:rFonts w:ascii="Arial" w:eastAsia="Times New Roman" w:hAnsi="Arial" w:cs="Arial"/>
          <w:b/>
          <w:bCs/>
          <w:sz w:val="20"/>
          <w:szCs w:val="20"/>
        </w:rPr>
        <w:t>PREGÃO ELETRÔNICO</w:t>
      </w:r>
      <w:r w:rsidR="00910106" w:rsidRPr="00513FC2">
        <w:rPr>
          <w:rFonts w:ascii="Arial" w:eastAsia="Times New Roman" w:hAnsi="Arial" w:cs="Arial"/>
          <w:b/>
          <w:bCs/>
          <w:sz w:val="20"/>
          <w:szCs w:val="20"/>
        </w:rPr>
        <w:t xml:space="preserve"> n°</w:t>
      </w:r>
      <w:r w:rsidR="000C063C" w:rsidRPr="00513FC2">
        <w:rPr>
          <w:rFonts w:ascii="Arial" w:eastAsia="Times New Roman" w:hAnsi="Arial" w:cs="Arial"/>
          <w:b/>
          <w:bCs/>
          <w:sz w:val="20"/>
          <w:szCs w:val="20"/>
        </w:rPr>
        <w:t xml:space="preserve"> </w:t>
      </w:r>
      <w:r w:rsidR="006F05DE" w:rsidRPr="00513FC2">
        <w:rPr>
          <w:rFonts w:ascii="Arial" w:eastAsia="Times New Roman" w:hAnsi="Arial" w:cs="Arial"/>
          <w:b/>
          <w:bCs/>
          <w:sz w:val="20"/>
          <w:szCs w:val="20"/>
        </w:rPr>
        <w:t>00</w:t>
      </w:r>
      <w:r w:rsidR="009F2DEF">
        <w:rPr>
          <w:rFonts w:ascii="Arial" w:eastAsia="Times New Roman" w:hAnsi="Arial" w:cs="Arial"/>
          <w:b/>
          <w:bCs/>
          <w:sz w:val="20"/>
          <w:szCs w:val="20"/>
        </w:rPr>
        <w:t>1</w:t>
      </w:r>
      <w:r w:rsidRPr="00513FC2">
        <w:rPr>
          <w:rFonts w:ascii="Arial" w:eastAsia="Times New Roman" w:hAnsi="Arial" w:cs="Arial"/>
          <w:b/>
          <w:bCs/>
          <w:sz w:val="20"/>
          <w:szCs w:val="20"/>
        </w:rPr>
        <w:t>/202</w:t>
      </w:r>
      <w:r w:rsidR="006F05DE" w:rsidRPr="00513FC2">
        <w:rPr>
          <w:rFonts w:ascii="Arial" w:eastAsia="Times New Roman" w:hAnsi="Arial" w:cs="Arial"/>
          <w:b/>
          <w:bCs/>
          <w:sz w:val="20"/>
          <w:szCs w:val="20"/>
        </w:rPr>
        <w:t>4</w:t>
      </w:r>
    </w:p>
    <w:p w14:paraId="4ABF944A" w14:textId="7B13C85E" w:rsidR="00F57BCF" w:rsidRPr="00513FC2" w:rsidRDefault="68D7CACC" w:rsidP="00836151">
      <w:pPr>
        <w:jc w:val="center"/>
        <w:rPr>
          <w:rFonts w:ascii="Arial" w:eastAsia="Times New Roman" w:hAnsi="Arial" w:cs="Arial"/>
          <w:b/>
          <w:bCs/>
          <w:sz w:val="20"/>
          <w:szCs w:val="20"/>
          <w:highlight w:val="cyan"/>
        </w:rPr>
      </w:pPr>
      <w:r w:rsidRPr="00513FC2">
        <w:rPr>
          <w:rFonts w:ascii="Arial" w:eastAsia="Times New Roman" w:hAnsi="Arial" w:cs="Arial"/>
          <w:b/>
          <w:bCs/>
          <w:sz w:val="20"/>
          <w:szCs w:val="20"/>
        </w:rPr>
        <w:t xml:space="preserve">Processo Administrativo </w:t>
      </w:r>
      <w:r w:rsidR="00910106" w:rsidRPr="00513FC2">
        <w:rPr>
          <w:rFonts w:ascii="Arial" w:eastAsia="Times New Roman" w:hAnsi="Arial" w:cs="Arial"/>
          <w:b/>
          <w:bCs/>
          <w:sz w:val="20"/>
          <w:szCs w:val="20"/>
        </w:rPr>
        <w:t xml:space="preserve">n° </w:t>
      </w:r>
      <w:r w:rsidR="006F05DE" w:rsidRPr="00513FC2">
        <w:rPr>
          <w:rFonts w:ascii="Arial" w:eastAsia="Times New Roman" w:hAnsi="Arial" w:cs="Arial"/>
          <w:b/>
          <w:bCs/>
          <w:sz w:val="20"/>
          <w:szCs w:val="20"/>
        </w:rPr>
        <w:t>0</w:t>
      </w:r>
      <w:r w:rsidR="009F2DEF">
        <w:rPr>
          <w:rFonts w:ascii="Arial" w:eastAsia="Times New Roman" w:hAnsi="Arial" w:cs="Arial"/>
          <w:b/>
          <w:bCs/>
          <w:sz w:val="20"/>
          <w:szCs w:val="20"/>
        </w:rPr>
        <w:t>2</w:t>
      </w:r>
      <w:r w:rsidR="006F05DE" w:rsidRPr="00513FC2">
        <w:rPr>
          <w:rFonts w:ascii="Arial" w:eastAsia="Times New Roman" w:hAnsi="Arial" w:cs="Arial"/>
          <w:b/>
          <w:bCs/>
          <w:sz w:val="20"/>
          <w:szCs w:val="20"/>
        </w:rPr>
        <w:t>1</w:t>
      </w:r>
      <w:r w:rsidRPr="00513FC2">
        <w:rPr>
          <w:rFonts w:ascii="Arial" w:eastAsia="Times New Roman" w:hAnsi="Arial" w:cs="Arial"/>
          <w:b/>
          <w:bCs/>
          <w:sz w:val="20"/>
          <w:szCs w:val="20"/>
        </w:rPr>
        <w:t>/202</w:t>
      </w:r>
      <w:r w:rsidR="006F05DE" w:rsidRPr="00513FC2">
        <w:rPr>
          <w:rFonts w:ascii="Arial" w:eastAsia="Times New Roman" w:hAnsi="Arial" w:cs="Arial"/>
          <w:b/>
          <w:bCs/>
          <w:sz w:val="20"/>
          <w:szCs w:val="20"/>
        </w:rPr>
        <w:t>4</w:t>
      </w:r>
    </w:p>
    <w:p w14:paraId="32A8A656" w14:textId="77777777" w:rsidR="00F57BCF" w:rsidRPr="00513FC2" w:rsidRDefault="005E21A2" w:rsidP="00836151">
      <w:pPr>
        <w:rPr>
          <w:rFonts w:ascii="Arial" w:eastAsia="Times New Roman" w:hAnsi="Arial" w:cs="Arial"/>
          <w:b/>
          <w:sz w:val="20"/>
          <w:szCs w:val="20"/>
        </w:rPr>
      </w:pPr>
      <w:r w:rsidRPr="00513FC2">
        <w:rPr>
          <w:rFonts w:ascii="Arial" w:eastAsia="Times New Roman" w:hAnsi="Arial" w:cs="Arial"/>
          <w:b/>
          <w:sz w:val="20"/>
          <w:szCs w:val="20"/>
        </w:rPr>
        <w:t xml:space="preserve"> </w:t>
      </w:r>
    </w:p>
    <w:p w14:paraId="0B0207B7" w14:textId="3E5730F2" w:rsidR="00F57BCF" w:rsidRPr="00513FC2" w:rsidRDefault="00AF3F31" w:rsidP="00AF3F31">
      <w:pPr>
        <w:tabs>
          <w:tab w:val="left" w:pos="8997"/>
        </w:tabs>
        <w:jc w:val="both"/>
        <w:rPr>
          <w:rFonts w:ascii="Arial" w:eastAsia="Times New Roman" w:hAnsi="Arial" w:cs="Arial"/>
          <w:sz w:val="20"/>
          <w:szCs w:val="20"/>
        </w:rPr>
      </w:pPr>
      <w:r w:rsidRPr="00513FC2">
        <w:rPr>
          <w:rFonts w:ascii="Arial" w:eastAsia="Times New Roman" w:hAnsi="Arial" w:cs="Arial"/>
          <w:sz w:val="20"/>
          <w:szCs w:val="20"/>
        </w:rPr>
        <w:tab/>
      </w:r>
    </w:p>
    <w:p w14:paraId="67EE9C1E" w14:textId="1E1DE9FA" w:rsidR="00F57BCF" w:rsidRPr="00513FC2" w:rsidRDefault="0070643B" w:rsidP="009E1ECD">
      <w:pPr>
        <w:pStyle w:val="PargrafodaLista"/>
        <w:numPr>
          <w:ilvl w:val="0"/>
          <w:numId w:val="12"/>
        </w:numPr>
        <w:jc w:val="both"/>
        <w:rPr>
          <w:rFonts w:ascii="Arial" w:eastAsia="Times New Roman" w:hAnsi="Arial" w:cs="Arial"/>
          <w:b/>
          <w:bCs/>
          <w:sz w:val="20"/>
          <w:szCs w:val="20"/>
        </w:rPr>
      </w:pPr>
      <w:r w:rsidRPr="00513FC2">
        <w:rPr>
          <w:rFonts w:ascii="Arial" w:eastAsia="Times New Roman" w:hAnsi="Arial" w:cs="Arial"/>
          <w:b/>
          <w:bCs/>
          <w:sz w:val="20"/>
          <w:szCs w:val="20"/>
        </w:rPr>
        <w:t>CONDIÇÕES GERAIS DA CONTRATAÇÃO</w:t>
      </w:r>
    </w:p>
    <w:p w14:paraId="47E82448" w14:textId="77777777" w:rsidR="00F57BCF" w:rsidRPr="00513FC2" w:rsidRDefault="00F57BCF" w:rsidP="68D7CACC">
      <w:pPr>
        <w:jc w:val="both"/>
        <w:rPr>
          <w:rFonts w:ascii="Arial" w:eastAsia="Times New Roman" w:hAnsi="Arial" w:cs="Arial"/>
          <w:sz w:val="20"/>
          <w:szCs w:val="20"/>
        </w:rPr>
      </w:pPr>
    </w:p>
    <w:p w14:paraId="76050DAF" w14:textId="347574E1" w:rsidR="006F05DE" w:rsidRPr="00513FC2" w:rsidRDefault="006F05DE" w:rsidP="006F05DE">
      <w:pPr>
        <w:numPr>
          <w:ilvl w:val="1"/>
          <w:numId w:val="12"/>
        </w:numPr>
        <w:spacing w:before="120" w:after="120" w:line="276" w:lineRule="auto"/>
        <w:ind w:left="567" w:firstLine="0"/>
        <w:jc w:val="both"/>
        <w:rPr>
          <w:rFonts w:ascii="Arial" w:hAnsi="Arial" w:cs="Arial"/>
          <w:b/>
          <w:bCs/>
          <w:sz w:val="22"/>
          <w:szCs w:val="22"/>
        </w:rPr>
      </w:pPr>
      <w:r w:rsidRPr="00513FC2">
        <w:rPr>
          <w:rFonts w:ascii="Arial" w:hAnsi="Arial" w:cs="Arial"/>
          <w:sz w:val="22"/>
          <w:szCs w:val="22"/>
          <w:lang w:val="pt-PT"/>
        </w:rPr>
        <w:t xml:space="preserve">Contratação de empresa especializada em </w:t>
      </w:r>
      <w:r w:rsidR="009F2DEF">
        <w:rPr>
          <w:rFonts w:ascii="Arial" w:hAnsi="Arial" w:cs="Arial"/>
          <w:sz w:val="22"/>
          <w:szCs w:val="22"/>
          <w:lang w:val="pt-PT"/>
        </w:rPr>
        <w:t>instalação e manutenção de ar - condicionado</w:t>
      </w:r>
      <w:r w:rsidRPr="00513FC2">
        <w:rPr>
          <w:rFonts w:ascii="Arial" w:hAnsi="Arial" w:cs="Arial"/>
          <w:sz w:val="22"/>
          <w:szCs w:val="22"/>
          <w:lang w:val="pt-PT"/>
        </w:rPr>
        <w:t xml:space="preserve">, para atender </w:t>
      </w:r>
      <w:r w:rsidR="009F2DEF">
        <w:rPr>
          <w:rFonts w:ascii="Arial" w:hAnsi="Arial" w:cs="Arial"/>
          <w:sz w:val="22"/>
          <w:szCs w:val="22"/>
          <w:lang w:val="pt-PT"/>
        </w:rPr>
        <w:t>a Autarquia Educacional do Belo Jardim - AEB</w:t>
      </w:r>
      <w:r w:rsidRPr="00513FC2">
        <w:rPr>
          <w:rFonts w:ascii="Arial" w:hAnsi="Arial" w:cs="Arial"/>
          <w:bCs/>
          <w:sz w:val="22"/>
          <w:szCs w:val="22"/>
        </w:rPr>
        <w:t>,</w:t>
      </w:r>
      <w:r w:rsidRPr="00513FC2">
        <w:rPr>
          <w:rFonts w:ascii="Arial" w:hAnsi="Arial" w:cs="Arial"/>
          <w:sz w:val="22"/>
          <w:szCs w:val="22"/>
        </w:rPr>
        <w:t xml:space="preserve"> conforme condições, quantidades e exigências estabelecidas neste instrumento:</w:t>
      </w:r>
    </w:p>
    <w:tbl>
      <w:tblPr>
        <w:tblW w:w="11411" w:type="dxa"/>
        <w:tblInd w:w="-784" w:type="dxa"/>
        <w:tblCellMar>
          <w:left w:w="70" w:type="dxa"/>
          <w:right w:w="70" w:type="dxa"/>
        </w:tblCellMar>
        <w:tblLook w:val="04A0" w:firstRow="1" w:lastRow="0" w:firstColumn="1" w:lastColumn="0" w:noHBand="0" w:noVBand="1"/>
      </w:tblPr>
      <w:tblGrid>
        <w:gridCol w:w="675"/>
        <w:gridCol w:w="4205"/>
        <w:gridCol w:w="1137"/>
        <w:gridCol w:w="1074"/>
        <w:gridCol w:w="1507"/>
        <w:gridCol w:w="1163"/>
        <w:gridCol w:w="1650"/>
      </w:tblGrid>
      <w:tr w:rsidR="009F2DEF" w:rsidRPr="00E64157" w14:paraId="48BD474C" w14:textId="77777777" w:rsidTr="00596439">
        <w:trPr>
          <w:trHeight w:val="391"/>
        </w:trPr>
        <w:tc>
          <w:tcPr>
            <w:tcW w:w="675" w:type="dxa"/>
            <w:tcBorders>
              <w:top w:val="single" w:sz="4" w:space="0" w:color="000000"/>
              <w:left w:val="single" w:sz="4" w:space="0" w:color="000000"/>
              <w:bottom w:val="nil"/>
              <w:right w:val="single" w:sz="4" w:space="0" w:color="000000"/>
            </w:tcBorders>
            <w:shd w:val="clear" w:color="FFFF00" w:fill="F8CBAD"/>
          </w:tcPr>
          <w:p w14:paraId="295A222F" w14:textId="77777777" w:rsidR="009F2DEF" w:rsidRPr="009F2DEF" w:rsidRDefault="009F2DEF" w:rsidP="00E91AB0">
            <w:pPr>
              <w:suppressAutoHyphens/>
              <w:spacing w:before="120" w:afterLines="120" w:after="288" w:line="312" w:lineRule="auto"/>
              <w:jc w:val="center"/>
              <w:rPr>
                <w:rFonts w:ascii="Times New Roman" w:hAnsi="Times New Roman" w:cs="Times New Roman"/>
                <w:b/>
                <w:bCs/>
                <w:color w:val="000000"/>
                <w:sz w:val="20"/>
                <w:szCs w:val="20"/>
              </w:rPr>
            </w:pPr>
            <w:r w:rsidRPr="009F2DEF">
              <w:rPr>
                <w:rFonts w:ascii="Times New Roman" w:hAnsi="Times New Roman" w:cs="Times New Roman"/>
                <w:b/>
                <w:bCs/>
                <w:color w:val="000000" w:themeColor="text1"/>
                <w:sz w:val="20"/>
                <w:szCs w:val="20"/>
              </w:rPr>
              <w:t>ITEM</w:t>
            </w:r>
          </w:p>
          <w:p w14:paraId="01DE3720" w14:textId="77777777" w:rsidR="009F2DEF" w:rsidRPr="009F2DEF" w:rsidRDefault="009F2DEF" w:rsidP="00E91AB0">
            <w:pPr>
              <w:jc w:val="center"/>
              <w:rPr>
                <w:rFonts w:ascii="Times New Roman" w:eastAsia="Times New Roman" w:hAnsi="Times New Roman" w:cs="Times New Roman"/>
                <w:b/>
                <w:bCs/>
                <w:color w:val="000000"/>
                <w:sz w:val="20"/>
                <w:szCs w:val="20"/>
              </w:rPr>
            </w:pPr>
          </w:p>
        </w:tc>
        <w:tc>
          <w:tcPr>
            <w:tcW w:w="4205" w:type="dxa"/>
            <w:tcBorders>
              <w:top w:val="single" w:sz="4" w:space="0" w:color="000000"/>
              <w:left w:val="nil"/>
              <w:bottom w:val="single" w:sz="4" w:space="0" w:color="000000"/>
              <w:right w:val="single" w:sz="4" w:space="0" w:color="auto"/>
            </w:tcBorders>
            <w:shd w:val="clear" w:color="FFFF00" w:fill="F8CBAD"/>
          </w:tcPr>
          <w:p w14:paraId="44F57621"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color w:val="000000" w:themeColor="text1"/>
                <w:sz w:val="20"/>
                <w:szCs w:val="20"/>
              </w:rPr>
              <w:t>ESPECIFICAÇÃO</w:t>
            </w:r>
          </w:p>
        </w:tc>
        <w:tc>
          <w:tcPr>
            <w:tcW w:w="1137" w:type="dxa"/>
            <w:tcBorders>
              <w:top w:val="single" w:sz="4" w:space="0" w:color="auto"/>
              <w:left w:val="single" w:sz="4" w:space="0" w:color="auto"/>
              <w:bottom w:val="single" w:sz="4" w:space="0" w:color="auto"/>
              <w:right w:val="single" w:sz="4" w:space="0" w:color="auto"/>
            </w:tcBorders>
            <w:shd w:val="clear" w:color="FFFF00" w:fill="F8CBAD"/>
          </w:tcPr>
          <w:p w14:paraId="17C1AFFA" w14:textId="77777777" w:rsidR="009F2DEF" w:rsidRPr="009F2DEF" w:rsidRDefault="009F2DEF" w:rsidP="00E91AB0">
            <w:pPr>
              <w:jc w:val="center"/>
              <w:rPr>
                <w:rFonts w:ascii="Times New Roman" w:hAnsi="Times New Roman" w:cs="Times New Roman"/>
                <w:b/>
                <w:bCs/>
                <w:color w:val="000000" w:themeColor="text1"/>
                <w:sz w:val="20"/>
                <w:szCs w:val="20"/>
              </w:rPr>
            </w:pPr>
            <w:r w:rsidRPr="009F2DEF">
              <w:rPr>
                <w:rFonts w:ascii="Times New Roman" w:hAnsi="Times New Roman" w:cs="Times New Roman"/>
                <w:b/>
                <w:bCs/>
                <w:color w:val="000000" w:themeColor="text1"/>
                <w:sz w:val="20"/>
                <w:szCs w:val="20"/>
              </w:rPr>
              <w:t xml:space="preserve">CATMAT </w:t>
            </w:r>
          </w:p>
          <w:p w14:paraId="7C88C815"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color w:val="000000" w:themeColor="text1"/>
                <w:sz w:val="20"/>
                <w:szCs w:val="20"/>
              </w:rPr>
              <w:t>/ CATSER</w:t>
            </w:r>
          </w:p>
        </w:tc>
        <w:tc>
          <w:tcPr>
            <w:tcW w:w="1074" w:type="dxa"/>
            <w:tcBorders>
              <w:top w:val="single" w:sz="4" w:space="0" w:color="000000"/>
              <w:left w:val="single" w:sz="4" w:space="0" w:color="auto"/>
              <w:bottom w:val="single" w:sz="4" w:space="0" w:color="000000"/>
              <w:right w:val="single" w:sz="4" w:space="0" w:color="000000"/>
            </w:tcBorders>
            <w:shd w:val="clear" w:color="FFFF00" w:fill="F8CBAD"/>
          </w:tcPr>
          <w:p w14:paraId="2670CBA9"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color w:val="000000" w:themeColor="text1"/>
                <w:sz w:val="20"/>
                <w:szCs w:val="20"/>
              </w:rPr>
              <w:t>UNIDADE DE MEDIDA</w:t>
            </w:r>
          </w:p>
        </w:tc>
        <w:tc>
          <w:tcPr>
            <w:tcW w:w="1507" w:type="dxa"/>
            <w:tcBorders>
              <w:top w:val="single" w:sz="4" w:space="0" w:color="000000"/>
              <w:left w:val="nil"/>
              <w:bottom w:val="single" w:sz="4" w:space="0" w:color="000000"/>
              <w:right w:val="single" w:sz="4" w:space="0" w:color="auto"/>
            </w:tcBorders>
            <w:shd w:val="clear" w:color="FFFF00" w:fill="F8CBAD"/>
          </w:tcPr>
          <w:p w14:paraId="5041D9F3"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sz w:val="20"/>
                <w:szCs w:val="20"/>
              </w:rPr>
              <w:t>QUANTIDADE</w:t>
            </w:r>
          </w:p>
        </w:tc>
        <w:tc>
          <w:tcPr>
            <w:tcW w:w="1163" w:type="dxa"/>
            <w:tcBorders>
              <w:top w:val="single" w:sz="4" w:space="0" w:color="auto"/>
              <w:left w:val="single" w:sz="4" w:space="0" w:color="auto"/>
              <w:bottom w:val="single" w:sz="4" w:space="0" w:color="auto"/>
              <w:right w:val="single" w:sz="4" w:space="0" w:color="auto"/>
            </w:tcBorders>
            <w:shd w:val="clear" w:color="FFFF00" w:fill="F8CBAD"/>
          </w:tcPr>
          <w:p w14:paraId="09532B07"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sz w:val="20"/>
                <w:szCs w:val="20"/>
              </w:rPr>
              <w:t>VALOR MÁXIMO UNITÁRIO</w:t>
            </w:r>
          </w:p>
        </w:tc>
        <w:tc>
          <w:tcPr>
            <w:tcW w:w="1650" w:type="dxa"/>
            <w:tcBorders>
              <w:top w:val="single" w:sz="4" w:space="0" w:color="000000"/>
              <w:left w:val="single" w:sz="4" w:space="0" w:color="auto"/>
              <w:bottom w:val="single" w:sz="4" w:space="0" w:color="000000"/>
              <w:right w:val="single" w:sz="4" w:space="0" w:color="000000"/>
            </w:tcBorders>
            <w:shd w:val="clear" w:color="FFFF00" w:fill="F8CBAD"/>
          </w:tcPr>
          <w:p w14:paraId="56A666A9" w14:textId="77777777" w:rsidR="009F2DEF" w:rsidRPr="009F2DEF" w:rsidRDefault="009F2DEF" w:rsidP="00E91AB0">
            <w:pPr>
              <w:jc w:val="center"/>
              <w:rPr>
                <w:rFonts w:ascii="Times New Roman" w:eastAsia="Times New Roman" w:hAnsi="Times New Roman" w:cs="Times New Roman"/>
                <w:b/>
                <w:bCs/>
                <w:color w:val="000000"/>
                <w:sz w:val="20"/>
                <w:szCs w:val="20"/>
              </w:rPr>
            </w:pPr>
            <w:r w:rsidRPr="009F2DEF">
              <w:rPr>
                <w:rFonts w:ascii="Times New Roman" w:hAnsi="Times New Roman" w:cs="Times New Roman"/>
                <w:b/>
                <w:bCs/>
                <w:sz w:val="20"/>
                <w:szCs w:val="20"/>
              </w:rPr>
              <w:t>VALOR TOTAL</w:t>
            </w:r>
          </w:p>
        </w:tc>
      </w:tr>
      <w:tr w:rsidR="009F2DEF" w:rsidRPr="00CC6094" w14:paraId="7396947F" w14:textId="77777777" w:rsidTr="00596439">
        <w:trPr>
          <w:trHeight w:val="36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509A6"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1</w:t>
            </w:r>
          </w:p>
        </w:tc>
        <w:tc>
          <w:tcPr>
            <w:tcW w:w="4205" w:type="dxa"/>
            <w:tcBorders>
              <w:top w:val="nil"/>
              <w:left w:val="nil"/>
              <w:bottom w:val="single" w:sz="4" w:space="0" w:color="000000"/>
              <w:right w:val="single" w:sz="4" w:space="0" w:color="auto"/>
            </w:tcBorders>
            <w:shd w:val="clear" w:color="auto" w:fill="auto"/>
            <w:vAlign w:val="center"/>
          </w:tcPr>
          <w:p w14:paraId="5F2FF361"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7.500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4D98B46B"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000000"/>
              <w:right w:val="single" w:sz="4" w:space="0" w:color="000000"/>
            </w:tcBorders>
            <w:shd w:val="clear" w:color="auto" w:fill="auto"/>
            <w:vAlign w:val="center"/>
          </w:tcPr>
          <w:p w14:paraId="764E4116"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000000"/>
              <w:right w:val="single" w:sz="4" w:space="0" w:color="auto"/>
            </w:tcBorders>
            <w:shd w:val="clear" w:color="auto" w:fill="auto"/>
            <w:vAlign w:val="center"/>
          </w:tcPr>
          <w:p w14:paraId="3323EF7D"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03</w:t>
            </w:r>
          </w:p>
        </w:tc>
        <w:tc>
          <w:tcPr>
            <w:tcW w:w="1163" w:type="dxa"/>
            <w:tcBorders>
              <w:top w:val="single" w:sz="4" w:space="0" w:color="auto"/>
              <w:left w:val="single" w:sz="4" w:space="0" w:color="auto"/>
              <w:bottom w:val="single" w:sz="4" w:space="0" w:color="auto"/>
              <w:right w:val="single" w:sz="4" w:space="0" w:color="auto"/>
            </w:tcBorders>
            <w:vAlign w:val="center"/>
          </w:tcPr>
          <w:p w14:paraId="04A76A0D"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w:t>
            </w:r>
          </w:p>
        </w:tc>
        <w:tc>
          <w:tcPr>
            <w:tcW w:w="1650" w:type="dxa"/>
            <w:tcBorders>
              <w:top w:val="nil"/>
              <w:left w:val="single" w:sz="4" w:space="0" w:color="auto"/>
              <w:bottom w:val="single" w:sz="4" w:space="0" w:color="000000"/>
              <w:right w:val="single" w:sz="4" w:space="0" w:color="000000"/>
            </w:tcBorders>
            <w:vAlign w:val="center"/>
          </w:tcPr>
          <w:p w14:paraId="259C2DD2"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R$ 300,00</w:t>
            </w:r>
          </w:p>
        </w:tc>
      </w:tr>
      <w:tr w:rsidR="009F2DEF" w:rsidRPr="00CC6094" w14:paraId="06E96494" w14:textId="77777777" w:rsidTr="00596439">
        <w:trPr>
          <w:trHeight w:val="360"/>
        </w:trPr>
        <w:tc>
          <w:tcPr>
            <w:tcW w:w="675" w:type="dxa"/>
            <w:tcBorders>
              <w:top w:val="nil"/>
              <w:left w:val="single" w:sz="4" w:space="0" w:color="auto"/>
              <w:bottom w:val="single" w:sz="4" w:space="0" w:color="auto"/>
              <w:right w:val="single" w:sz="4" w:space="0" w:color="auto"/>
            </w:tcBorders>
            <w:shd w:val="clear" w:color="auto" w:fill="auto"/>
            <w:noWrap/>
            <w:vAlign w:val="center"/>
          </w:tcPr>
          <w:p w14:paraId="72CBC9B7"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2</w:t>
            </w:r>
          </w:p>
        </w:tc>
        <w:tc>
          <w:tcPr>
            <w:tcW w:w="4205" w:type="dxa"/>
            <w:tcBorders>
              <w:top w:val="nil"/>
              <w:left w:val="nil"/>
              <w:bottom w:val="single" w:sz="4" w:space="0" w:color="000000"/>
              <w:right w:val="single" w:sz="4" w:space="0" w:color="auto"/>
            </w:tcBorders>
            <w:shd w:val="clear" w:color="auto" w:fill="auto"/>
            <w:vAlign w:val="center"/>
          </w:tcPr>
          <w:p w14:paraId="0F065BCF"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9.000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01FCBE17"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000000"/>
              <w:right w:val="single" w:sz="4" w:space="0" w:color="000000"/>
            </w:tcBorders>
            <w:shd w:val="clear" w:color="auto" w:fill="auto"/>
            <w:vAlign w:val="center"/>
          </w:tcPr>
          <w:p w14:paraId="58151A12"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000000"/>
              <w:right w:val="single" w:sz="4" w:space="0" w:color="auto"/>
            </w:tcBorders>
            <w:shd w:val="clear" w:color="auto" w:fill="auto"/>
            <w:vAlign w:val="center"/>
          </w:tcPr>
          <w:p w14:paraId="3C961AB4"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14</w:t>
            </w:r>
          </w:p>
        </w:tc>
        <w:tc>
          <w:tcPr>
            <w:tcW w:w="1163" w:type="dxa"/>
            <w:tcBorders>
              <w:top w:val="single" w:sz="4" w:space="0" w:color="auto"/>
              <w:left w:val="single" w:sz="4" w:space="0" w:color="auto"/>
              <w:bottom w:val="single" w:sz="4" w:space="0" w:color="auto"/>
              <w:right w:val="single" w:sz="4" w:space="0" w:color="auto"/>
            </w:tcBorders>
            <w:vAlign w:val="center"/>
          </w:tcPr>
          <w:p w14:paraId="658B4707"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w:t>
            </w:r>
          </w:p>
        </w:tc>
        <w:tc>
          <w:tcPr>
            <w:tcW w:w="1650" w:type="dxa"/>
            <w:tcBorders>
              <w:top w:val="nil"/>
              <w:left w:val="single" w:sz="4" w:space="0" w:color="auto"/>
              <w:bottom w:val="single" w:sz="4" w:space="0" w:color="000000"/>
              <w:right w:val="single" w:sz="4" w:space="0" w:color="000000"/>
            </w:tcBorders>
            <w:vAlign w:val="center"/>
          </w:tcPr>
          <w:p w14:paraId="2B30B701"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R$ 1.400,00</w:t>
            </w:r>
          </w:p>
        </w:tc>
      </w:tr>
      <w:tr w:rsidR="009F2DEF" w:rsidRPr="00CC6094" w14:paraId="3AE00820" w14:textId="77777777" w:rsidTr="00596439">
        <w:trPr>
          <w:trHeight w:val="360"/>
        </w:trPr>
        <w:tc>
          <w:tcPr>
            <w:tcW w:w="675" w:type="dxa"/>
            <w:tcBorders>
              <w:top w:val="nil"/>
              <w:left w:val="single" w:sz="4" w:space="0" w:color="auto"/>
              <w:bottom w:val="single" w:sz="4" w:space="0" w:color="auto"/>
              <w:right w:val="single" w:sz="4" w:space="0" w:color="auto"/>
            </w:tcBorders>
            <w:shd w:val="clear" w:color="auto" w:fill="auto"/>
            <w:noWrap/>
            <w:vAlign w:val="center"/>
          </w:tcPr>
          <w:p w14:paraId="42C4329E"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3</w:t>
            </w:r>
          </w:p>
        </w:tc>
        <w:tc>
          <w:tcPr>
            <w:tcW w:w="4205" w:type="dxa"/>
            <w:tcBorders>
              <w:top w:val="nil"/>
              <w:left w:val="nil"/>
              <w:bottom w:val="single" w:sz="4" w:space="0" w:color="000000"/>
              <w:right w:val="single" w:sz="4" w:space="0" w:color="auto"/>
            </w:tcBorders>
            <w:shd w:val="clear" w:color="auto" w:fill="auto"/>
            <w:vAlign w:val="center"/>
          </w:tcPr>
          <w:p w14:paraId="7BD6C1B8"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10.000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78D2A661"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000000"/>
              <w:right w:val="single" w:sz="4" w:space="0" w:color="000000"/>
            </w:tcBorders>
            <w:shd w:val="clear" w:color="auto" w:fill="auto"/>
            <w:vAlign w:val="center"/>
          </w:tcPr>
          <w:p w14:paraId="4445BEDD"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000000"/>
              <w:right w:val="single" w:sz="4" w:space="0" w:color="auto"/>
            </w:tcBorders>
            <w:shd w:val="clear" w:color="auto" w:fill="auto"/>
            <w:vAlign w:val="center"/>
          </w:tcPr>
          <w:p w14:paraId="42B80637"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01</w:t>
            </w:r>
          </w:p>
        </w:tc>
        <w:tc>
          <w:tcPr>
            <w:tcW w:w="1163" w:type="dxa"/>
            <w:tcBorders>
              <w:top w:val="single" w:sz="4" w:space="0" w:color="auto"/>
              <w:left w:val="single" w:sz="4" w:space="0" w:color="auto"/>
              <w:bottom w:val="single" w:sz="4" w:space="0" w:color="auto"/>
              <w:right w:val="single" w:sz="4" w:space="0" w:color="auto"/>
            </w:tcBorders>
            <w:vAlign w:val="center"/>
          </w:tcPr>
          <w:p w14:paraId="28D35555"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w:t>
            </w:r>
          </w:p>
        </w:tc>
        <w:tc>
          <w:tcPr>
            <w:tcW w:w="1650" w:type="dxa"/>
            <w:tcBorders>
              <w:top w:val="nil"/>
              <w:left w:val="single" w:sz="4" w:space="0" w:color="auto"/>
              <w:bottom w:val="single" w:sz="4" w:space="0" w:color="000000"/>
              <w:right w:val="single" w:sz="4" w:space="0" w:color="000000"/>
            </w:tcBorders>
            <w:vAlign w:val="center"/>
          </w:tcPr>
          <w:p w14:paraId="4E7D6031"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w:t>
            </w:r>
          </w:p>
        </w:tc>
      </w:tr>
      <w:tr w:rsidR="009F2DEF" w:rsidRPr="00CC6094" w14:paraId="5A0CA621" w14:textId="77777777" w:rsidTr="00596439">
        <w:trPr>
          <w:trHeight w:val="360"/>
        </w:trPr>
        <w:tc>
          <w:tcPr>
            <w:tcW w:w="675" w:type="dxa"/>
            <w:tcBorders>
              <w:top w:val="nil"/>
              <w:left w:val="single" w:sz="4" w:space="0" w:color="auto"/>
              <w:bottom w:val="single" w:sz="4" w:space="0" w:color="auto"/>
              <w:right w:val="single" w:sz="4" w:space="0" w:color="auto"/>
            </w:tcBorders>
            <w:shd w:val="clear" w:color="auto" w:fill="auto"/>
            <w:noWrap/>
            <w:vAlign w:val="center"/>
          </w:tcPr>
          <w:p w14:paraId="3FA482AD"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4</w:t>
            </w:r>
          </w:p>
        </w:tc>
        <w:tc>
          <w:tcPr>
            <w:tcW w:w="4205" w:type="dxa"/>
            <w:tcBorders>
              <w:top w:val="nil"/>
              <w:left w:val="nil"/>
              <w:bottom w:val="single" w:sz="4" w:space="0" w:color="000000"/>
              <w:right w:val="single" w:sz="4" w:space="0" w:color="auto"/>
            </w:tcBorders>
            <w:shd w:val="clear" w:color="auto" w:fill="auto"/>
            <w:vAlign w:val="bottom"/>
          </w:tcPr>
          <w:p w14:paraId="2535F287"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12.000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21A5EA0E"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000000"/>
              <w:right w:val="single" w:sz="4" w:space="0" w:color="000000"/>
            </w:tcBorders>
            <w:shd w:val="clear" w:color="auto" w:fill="auto"/>
            <w:vAlign w:val="center"/>
          </w:tcPr>
          <w:p w14:paraId="7510D9B9"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000000"/>
              <w:right w:val="single" w:sz="4" w:space="0" w:color="auto"/>
            </w:tcBorders>
            <w:shd w:val="clear" w:color="auto" w:fill="auto"/>
            <w:vAlign w:val="center"/>
          </w:tcPr>
          <w:p w14:paraId="227D88B8"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10</w:t>
            </w:r>
          </w:p>
        </w:tc>
        <w:tc>
          <w:tcPr>
            <w:tcW w:w="1163" w:type="dxa"/>
            <w:tcBorders>
              <w:top w:val="single" w:sz="4" w:space="0" w:color="auto"/>
              <w:left w:val="single" w:sz="4" w:space="0" w:color="auto"/>
              <w:bottom w:val="single" w:sz="4" w:space="0" w:color="auto"/>
              <w:right w:val="single" w:sz="4" w:space="0" w:color="auto"/>
            </w:tcBorders>
            <w:vAlign w:val="center"/>
          </w:tcPr>
          <w:p w14:paraId="44F2ADB8"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w:t>
            </w:r>
          </w:p>
        </w:tc>
        <w:tc>
          <w:tcPr>
            <w:tcW w:w="1650" w:type="dxa"/>
            <w:tcBorders>
              <w:top w:val="nil"/>
              <w:left w:val="single" w:sz="4" w:space="0" w:color="auto"/>
              <w:bottom w:val="single" w:sz="4" w:space="0" w:color="000000"/>
              <w:right w:val="single" w:sz="4" w:space="0" w:color="000000"/>
            </w:tcBorders>
            <w:vAlign w:val="center"/>
          </w:tcPr>
          <w:p w14:paraId="2CFF527F"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R$ 1.000,00</w:t>
            </w:r>
          </w:p>
        </w:tc>
      </w:tr>
      <w:tr w:rsidR="009F2DEF" w:rsidRPr="00CC6094" w14:paraId="7547D75C" w14:textId="77777777" w:rsidTr="00596439">
        <w:trPr>
          <w:trHeight w:val="360"/>
        </w:trPr>
        <w:tc>
          <w:tcPr>
            <w:tcW w:w="675" w:type="dxa"/>
            <w:tcBorders>
              <w:top w:val="nil"/>
              <w:left w:val="single" w:sz="4" w:space="0" w:color="auto"/>
              <w:bottom w:val="single" w:sz="4" w:space="0" w:color="auto"/>
              <w:right w:val="single" w:sz="4" w:space="0" w:color="auto"/>
            </w:tcBorders>
            <w:shd w:val="clear" w:color="auto" w:fill="auto"/>
            <w:noWrap/>
            <w:vAlign w:val="center"/>
          </w:tcPr>
          <w:p w14:paraId="324E3195"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5</w:t>
            </w:r>
          </w:p>
        </w:tc>
        <w:tc>
          <w:tcPr>
            <w:tcW w:w="4205" w:type="dxa"/>
            <w:tcBorders>
              <w:top w:val="nil"/>
              <w:left w:val="nil"/>
              <w:bottom w:val="single" w:sz="4" w:space="0" w:color="000000"/>
              <w:right w:val="single" w:sz="4" w:space="0" w:color="auto"/>
            </w:tcBorders>
            <w:shd w:val="clear" w:color="auto" w:fill="auto"/>
            <w:vAlign w:val="bottom"/>
          </w:tcPr>
          <w:p w14:paraId="7CD0E2B0"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18.000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749577AA"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000000"/>
              <w:right w:val="single" w:sz="4" w:space="0" w:color="000000"/>
            </w:tcBorders>
            <w:shd w:val="clear" w:color="auto" w:fill="auto"/>
            <w:vAlign w:val="center"/>
          </w:tcPr>
          <w:p w14:paraId="251CAD2B"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000000"/>
              <w:right w:val="single" w:sz="4" w:space="0" w:color="auto"/>
            </w:tcBorders>
            <w:shd w:val="clear" w:color="auto" w:fill="auto"/>
            <w:vAlign w:val="center"/>
          </w:tcPr>
          <w:p w14:paraId="582C2090"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15</w:t>
            </w:r>
          </w:p>
        </w:tc>
        <w:tc>
          <w:tcPr>
            <w:tcW w:w="1163" w:type="dxa"/>
            <w:tcBorders>
              <w:top w:val="single" w:sz="4" w:space="0" w:color="auto"/>
              <w:left w:val="single" w:sz="4" w:space="0" w:color="auto"/>
              <w:bottom w:val="single" w:sz="4" w:space="0" w:color="auto"/>
              <w:right w:val="single" w:sz="4" w:space="0" w:color="auto"/>
            </w:tcBorders>
            <w:vAlign w:val="center"/>
          </w:tcPr>
          <w:p w14:paraId="2FEA1B44"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R$ 120,00</w:t>
            </w:r>
          </w:p>
        </w:tc>
        <w:tc>
          <w:tcPr>
            <w:tcW w:w="1650" w:type="dxa"/>
            <w:tcBorders>
              <w:top w:val="nil"/>
              <w:left w:val="single" w:sz="4" w:space="0" w:color="auto"/>
              <w:bottom w:val="single" w:sz="4" w:space="0" w:color="000000"/>
              <w:right w:val="single" w:sz="4" w:space="0" w:color="000000"/>
            </w:tcBorders>
            <w:vAlign w:val="center"/>
          </w:tcPr>
          <w:p w14:paraId="4324C935"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R$ 1.800,00</w:t>
            </w:r>
          </w:p>
        </w:tc>
      </w:tr>
      <w:tr w:rsidR="009F2DEF" w:rsidRPr="00CC6094" w14:paraId="4BAA64CD" w14:textId="77777777" w:rsidTr="00596439">
        <w:trPr>
          <w:trHeight w:val="360"/>
        </w:trPr>
        <w:tc>
          <w:tcPr>
            <w:tcW w:w="675" w:type="dxa"/>
            <w:tcBorders>
              <w:top w:val="nil"/>
              <w:left w:val="single" w:sz="4" w:space="0" w:color="auto"/>
              <w:bottom w:val="single" w:sz="4" w:space="0" w:color="auto"/>
              <w:right w:val="single" w:sz="4" w:space="0" w:color="auto"/>
            </w:tcBorders>
            <w:shd w:val="clear" w:color="auto" w:fill="auto"/>
            <w:noWrap/>
            <w:vAlign w:val="center"/>
          </w:tcPr>
          <w:p w14:paraId="601DCDD8"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6</w:t>
            </w:r>
          </w:p>
        </w:tc>
        <w:tc>
          <w:tcPr>
            <w:tcW w:w="4205" w:type="dxa"/>
            <w:tcBorders>
              <w:top w:val="nil"/>
              <w:left w:val="nil"/>
              <w:bottom w:val="single" w:sz="4" w:space="0" w:color="auto"/>
              <w:right w:val="single" w:sz="4" w:space="0" w:color="auto"/>
            </w:tcBorders>
            <w:shd w:val="clear" w:color="auto" w:fill="auto"/>
            <w:vAlign w:val="bottom"/>
          </w:tcPr>
          <w:p w14:paraId="726EC72F"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24.000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1EDC4F9C"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nil"/>
              <w:left w:val="single" w:sz="4" w:space="0" w:color="auto"/>
              <w:bottom w:val="single" w:sz="4" w:space="0" w:color="auto"/>
              <w:right w:val="single" w:sz="4" w:space="0" w:color="000000"/>
            </w:tcBorders>
            <w:shd w:val="clear" w:color="auto" w:fill="auto"/>
            <w:vAlign w:val="center"/>
          </w:tcPr>
          <w:p w14:paraId="04E6DF21"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nil"/>
              <w:left w:val="nil"/>
              <w:bottom w:val="single" w:sz="4" w:space="0" w:color="auto"/>
              <w:right w:val="single" w:sz="4" w:space="0" w:color="auto"/>
            </w:tcBorders>
            <w:shd w:val="clear" w:color="auto" w:fill="auto"/>
            <w:vAlign w:val="center"/>
          </w:tcPr>
          <w:p w14:paraId="280AA518"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06</w:t>
            </w:r>
          </w:p>
        </w:tc>
        <w:tc>
          <w:tcPr>
            <w:tcW w:w="1163" w:type="dxa"/>
            <w:tcBorders>
              <w:top w:val="single" w:sz="4" w:space="0" w:color="auto"/>
              <w:left w:val="single" w:sz="4" w:space="0" w:color="auto"/>
              <w:bottom w:val="single" w:sz="4" w:space="0" w:color="auto"/>
              <w:right w:val="single" w:sz="4" w:space="0" w:color="auto"/>
            </w:tcBorders>
            <w:vAlign w:val="center"/>
          </w:tcPr>
          <w:p w14:paraId="3B6C54B9"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R$ 150,00</w:t>
            </w:r>
          </w:p>
        </w:tc>
        <w:tc>
          <w:tcPr>
            <w:tcW w:w="1650" w:type="dxa"/>
            <w:tcBorders>
              <w:top w:val="nil"/>
              <w:left w:val="single" w:sz="4" w:space="0" w:color="auto"/>
              <w:bottom w:val="single" w:sz="4" w:space="0" w:color="auto"/>
              <w:right w:val="single" w:sz="4" w:space="0" w:color="000000"/>
            </w:tcBorders>
            <w:vAlign w:val="center"/>
          </w:tcPr>
          <w:p w14:paraId="45FB103A"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R$ 900,00</w:t>
            </w:r>
          </w:p>
        </w:tc>
      </w:tr>
      <w:tr w:rsidR="009F2DEF" w:rsidRPr="00CC6094" w14:paraId="2616567A" w14:textId="77777777" w:rsidTr="00596439">
        <w:trPr>
          <w:trHeight w:val="36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9DD3E"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7</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bottom"/>
          </w:tcPr>
          <w:p w14:paraId="40D98C62"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30.000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74EB64EA"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58B52A2"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4CEDBA70"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01</w:t>
            </w:r>
          </w:p>
        </w:tc>
        <w:tc>
          <w:tcPr>
            <w:tcW w:w="1163" w:type="dxa"/>
            <w:tcBorders>
              <w:top w:val="single" w:sz="4" w:space="0" w:color="auto"/>
              <w:left w:val="single" w:sz="4" w:space="0" w:color="auto"/>
              <w:bottom w:val="single" w:sz="4" w:space="0" w:color="auto"/>
              <w:right w:val="single" w:sz="4" w:space="0" w:color="auto"/>
            </w:tcBorders>
            <w:vAlign w:val="center"/>
          </w:tcPr>
          <w:p w14:paraId="57162D42"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R$ 300,00</w:t>
            </w:r>
          </w:p>
        </w:tc>
        <w:tc>
          <w:tcPr>
            <w:tcW w:w="1650" w:type="dxa"/>
            <w:tcBorders>
              <w:top w:val="single" w:sz="4" w:space="0" w:color="auto"/>
              <w:left w:val="single" w:sz="4" w:space="0" w:color="auto"/>
              <w:bottom w:val="single" w:sz="4" w:space="0" w:color="auto"/>
              <w:right w:val="single" w:sz="4" w:space="0" w:color="auto"/>
            </w:tcBorders>
            <w:vAlign w:val="center"/>
          </w:tcPr>
          <w:p w14:paraId="08D31D43"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R$ 300,00</w:t>
            </w:r>
          </w:p>
        </w:tc>
      </w:tr>
      <w:tr w:rsidR="009F2DEF" w:rsidRPr="00CC6094" w14:paraId="6D94AB80" w14:textId="77777777" w:rsidTr="00596439">
        <w:trPr>
          <w:trHeight w:val="36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05692" w14:textId="77777777" w:rsidR="009F2DEF" w:rsidRPr="009F2DEF" w:rsidRDefault="009F2DEF" w:rsidP="00E91AB0">
            <w:pPr>
              <w:jc w:val="both"/>
              <w:rPr>
                <w:rFonts w:ascii="Times New Roman" w:eastAsia="Times New Roman" w:hAnsi="Times New Roman" w:cs="Times New Roman"/>
                <w:color w:val="000000"/>
                <w:sz w:val="20"/>
                <w:szCs w:val="20"/>
              </w:rPr>
            </w:pPr>
            <w:r w:rsidRPr="009F2DEF">
              <w:rPr>
                <w:rFonts w:ascii="Times New Roman" w:hAnsi="Times New Roman" w:cs="Times New Roman"/>
                <w:color w:val="000000"/>
                <w:sz w:val="20"/>
                <w:szCs w:val="20"/>
              </w:rPr>
              <w:t>8</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bottom"/>
          </w:tcPr>
          <w:p w14:paraId="2205E71F" w14:textId="77777777" w:rsidR="009F2DEF" w:rsidRPr="009F2DEF" w:rsidRDefault="009F2DEF" w:rsidP="00E91AB0">
            <w:pPr>
              <w:jc w:val="both"/>
              <w:rPr>
                <w:rFonts w:ascii="Times New Roman" w:eastAsia="Times New Roman" w:hAnsi="Times New Roman" w:cs="Times New Roman"/>
                <w:b/>
                <w:bCs/>
                <w:color w:val="000000"/>
                <w:sz w:val="20"/>
                <w:szCs w:val="20"/>
              </w:rPr>
            </w:pPr>
            <w:r w:rsidRPr="009F2DEF">
              <w:rPr>
                <w:rFonts w:ascii="Times New Roman" w:eastAsia="Times New Roman" w:hAnsi="Times New Roman" w:cs="Times New Roman"/>
                <w:b/>
                <w:bCs/>
                <w:color w:val="000000"/>
                <w:sz w:val="20"/>
                <w:szCs w:val="20"/>
              </w:rPr>
              <w:t xml:space="preserve">Manutenção de ar condicionado, higienização no local 40.000 mil </w:t>
            </w:r>
            <w:proofErr w:type="spellStart"/>
            <w:r w:rsidRPr="009F2DEF">
              <w:rPr>
                <w:rFonts w:ascii="Times New Roman" w:eastAsia="Times New Roman" w:hAnsi="Times New Roman" w:cs="Times New Roman"/>
                <w:b/>
                <w:bCs/>
                <w:color w:val="000000"/>
                <w:sz w:val="20"/>
                <w:szCs w:val="20"/>
              </w:rPr>
              <w:t>Btus</w:t>
            </w:r>
            <w:proofErr w:type="spellEnd"/>
            <w:r w:rsidRPr="009F2DEF">
              <w:rPr>
                <w:rFonts w:ascii="Times New Roman" w:eastAsia="Times New Roman" w:hAnsi="Times New Roman" w:cs="Times New Roman"/>
                <w:b/>
                <w:bCs/>
                <w:color w:val="000000"/>
                <w:sz w:val="20"/>
                <w:szCs w:val="20"/>
              </w:rPr>
              <w:t>.</w:t>
            </w:r>
          </w:p>
        </w:tc>
        <w:tc>
          <w:tcPr>
            <w:tcW w:w="1137" w:type="dxa"/>
            <w:tcBorders>
              <w:top w:val="single" w:sz="4" w:space="0" w:color="auto"/>
              <w:left w:val="single" w:sz="4" w:space="0" w:color="auto"/>
              <w:bottom w:val="single" w:sz="4" w:space="0" w:color="auto"/>
              <w:right w:val="single" w:sz="4" w:space="0" w:color="auto"/>
            </w:tcBorders>
            <w:vAlign w:val="center"/>
          </w:tcPr>
          <w:p w14:paraId="5780600F"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2771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72F20A72"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SV</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4A879FF0"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01</w:t>
            </w:r>
          </w:p>
        </w:tc>
        <w:tc>
          <w:tcPr>
            <w:tcW w:w="1163" w:type="dxa"/>
            <w:tcBorders>
              <w:top w:val="single" w:sz="4" w:space="0" w:color="auto"/>
              <w:left w:val="single" w:sz="4" w:space="0" w:color="auto"/>
              <w:bottom w:val="single" w:sz="4" w:space="0" w:color="auto"/>
              <w:right w:val="single" w:sz="4" w:space="0" w:color="auto"/>
            </w:tcBorders>
            <w:vAlign w:val="center"/>
          </w:tcPr>
          <w:p w14:paraId="500FA303"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R$ 372,50</w:t>
            </w:r>
          </w:p>
        </w:tc>
        <w:tc>
          <w:tcPr>
            <w:tcW w:w="1650" w:type="dxa"/>
            <w:tcBorders>
              <w:top w:val="single" w:sz="4" w:space="0" w:color="auto"/>
              <w:left w:val="single" w:sz="4" w:space="0" w:color="auto"/>
              <w:bottom w:val="single" w:sz="4" w:space="0" w:color="auto"/>
              <w:right w:val="single" w:sz="4" w:space="0" w:color="auto"/>
            </w:tcBorders>
            <w:vAlign w:val="center"/>
          </w:tcPr>
          <w:p w14:paraId="02ED885B" w14:textId="77777777" w:rsidR="009F2DEF" w:rsidRPr="009F2DEF" w:rsidRDefault="009F2DEF" w:rsidP="00E91AB0">
            <w:pPr>
              <w:jc w:val="center"/>
              <w:rPr>
                <w:rFonts w:ascii="Times New Roman" w:eastAsia="Times New Roman" w:hAnsi="Times New Roman" w:cs="Times New Roman"/>
                <w:color w:val="000000"/>
                <w:sz w:val="20"/>
                <w:szCs w:val="20"/>
              </w:rPr>
            </w:pPr>
            <w:r w:rsidRPr="009F2DEF">
              <w:rPr>
                <w:rFonts w:ascii="Times New Roman" w:eastAsia="Times New Roman" w:hAnsi="Times New Roman" w:cs="Times New Roman"/>
                <w:color w:val="000000"/>
                <w:sz w:val="20"/>
                <w:szCs w:val="20"/>
              </w:rPr>
              <w:t>R$ 372,50</w:t>
            </w:r>
          </w:p>
        </w:tc>
      </w:tr>
      <w:tr w:rsidR="009F2DEF" w:rsidRPr="00CC6094" w14:paraId="6398C104" w14:textId="77777777" w:rsidTr="00596439">
        <w:trPr>
          <w:trHeight w:val="360"/>
        </w:trPr>
        <w:tc>
          <w:tcPr>
            <w:tcW w:w="976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B84404A" w14:textId="77777777" w:rsidR="009F2DEF" w:rsidRPr="009F2DEF" w:rsidRDefault="009F2DEF" w:rsidP="00E91AB0">
            <w:pPr>
              <w:jc w:val="right"/>
              <w:rPr>
                <w:rFonts w:ascii="Times New Roman" w:hAnsi="Times New Roman" w:cs="Times New Roman"/>
                <w:color w:val="000000"/>
                <w:sz w:val="20"/>
                <w:szCs w:val="20"/>
              </w:rPr>
            </w:pPr>
            <w:r w:rsidRPr="009F2DEF">
              <w:rPr>
                <w:rFonts w:ascii="Times New Roman" w:hAnsi="Times New Roman" w:cs="Times New Roman"/>
                <w:color w:val="000000"/>
                <w:sz w:val="20"/>
                <w:szCs w:val="20"/>
              </w:rPr>
              <w:t>TOTAL</w:t>
            </w:r>
          </w:p>
        </w:tc>
        <w:tc>
          <w:tcPr>
            <w:tcW w:w="1650" w:type="dxa"/>
            <w:tcBorders>
              <w:top w:val="single" w:sz="4" w:space="0" w:color="auto"/>
              <w:left w:val="single" w:sz="4" w:space="0" w:color="auto"/>
              <w:bottom w:val="single" w:sz="4" w:space="0" w:color="auto"/>
              <w:right w:val="single" w:sz="4" w:space="0" w:color="auto"/>
            </w:tcBorders>
            <w:vAlign w:val="center"/>
          </w:tcPr>
          <w:p w14:paraId="1BA3524B" w14:textId="77777777" w:rsidR="009F2DEF" w:rsidRPr="009F2DEF" w:rsidRDefault="009F2DEF" w:rsidP="00E91AB0">
            <w:pPr>
              <w:jc w:val="center"/>
              <w:rPr>
                <w:rFonts w:ascii="Times New Roman" w:hAnsi="Times New Roman" w:cs="Times New Roman"/>
                <w:b/>
                <w:color w:val="000000"/>
                <w:sz w:val="20"/>
                <w:szCs w:val="20"/>
              </w:rPr>
            </w:pPr>
            <w:r w:rsidRPr="009F2DEF">
              <w:rPr>
                <w:rFonts w:ascii="Times New Roman" w:hAnsi="Times New Roman" w:cs="Times New Roman"/>
                <w:b/>
                <w:color w:val="000000"/>
                <w:sz w:val="20"/>
                <w:szCs w:val="20"/>
              </w:rPr>
              <w:t>R$          6.172,50</w:t>
            </w:r>
          </w:p>
        </w:tc>
      </w:tr>
    </w:tbl>
    <w:p w14:paraId="1FC57FCF" w14:textId="76C4FB11" w:rsidR="006F05DE" w:rsidRPr="00513FC2" w:rsidRDefault="006F05DE" w:rsidP="006F05DE">
      <w:pPr>
        <w:rPr>
          <w:rFonts w:ascii="Arial" w:hAnsi="Arial" w:cs="Arial"/>
          <w:b/>
          <w:bCs/>
          <w:sz w:val="22"/>
          <w:szCs w:val="22"/>
        </w:rPr>
      </w:pPr>
    </w:p>
    <w:p w14:paraId="30E610F8" w14:textId="77777777" w:rsidR="006F05DE" w:rsidRPr="00513FC2" w:rsidRDefault="006F05DE" w:rsidP="006F05DE">
      <w:pPr>
        <w:keepNext/>
        <w:keepLines/>
        <w:numPr>
          <w:ilvl w:val="1"/>
          <w:numId w:val="15"/>
        </w:numPr>
        <w:pBdr>
          <w:top w:val="nil"/>
          <w:left w:val="nil"/>
          <w:bottom w:val="nil"/>
          <w:right w:val="nil"/>
          <w:between w:val="nil"/>
        </w:pBdr>
        <w:spacing w:before="240" w:after="120" w:line="276" w:lineRule="auto"/>
        <w:ind w:left="284" w:firstLine="0"/>
        <w:jc w:val="both"/>
        <w:rPr>
          <w:rFonts w:ascii="Arial" w:eastAsia="Times New Roman" w:hAnsi="Arial" w:cs="Arial"/>
          <w:sz w:val="20"/>
          <w:szCs w:val="20"/>
        </w:rPr>
      </w:pPr>
      <w:r w:rsidRPr="00513FC2">
        <w:rPr>
          <w:rFonts w:ascii="Arial" w:hAnsi="Arial" w:cs="Arial"/>
          <w:sz w:val="20"/>
          <w:szCs w:val="20"/>
        </w:rPr>
        <w:t>O(s) serviço(s) objeto desta contratação são caracterizados como comum(</w:t>
      </w:r>
      <w:proofErr w:type="spellStart"/>
      <w:r w:rsidRPr="00513FC2">
        <w:rPr>
          <w:rFonts w:ascii="Arial" w:hAnsi="Arial" w:cs="Arial"/>
          <w:sz w:val="20"/>
          <w:szCs w:val="20"/>
        </w:rPr>
        <w:t>ns</w:t>
      </w:r>
      <w:proofErr w:type="spellEnd"/>
      <w:r w:rsidRPr="00513FC2">
        <w:rPr>
          <w:rFonts w:ascii="Arial" w:hAnsi="Arial" w:cs="Arial"/>
          <w:sz w:val="20"/>
          <w:szCs w:val="20"/>
        </w:rPr>
        <w:t>), conforme justificativa constante do Estudo Técnico Preliminar.</w:t>
      </w:r>
    </w:p>
    <w:p w14:paraId="7E5181F7" w14:textId="63C1681B" w:rsidR="00077B68" w:rsidRPr="00513FC2"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w:eastAsia="Times New Roman" w:hAnsi="Arial" w:cs="Arial"/>
          <w:sz w:val="20"/>
          <w:szCs w:val="20"/>
        </w:rPr>
      </w:pPr>
      <w:r w:rsidRPr="00513FC2">
        <w:rPr>
          <w:rFonts w:ascii="Arial" w:eastAsia="Times New Roman" w:hAnsi="Arial" w:cs="Arial"/>
          <w:sz w:val="20"/>
          <w:szCs w:val="20"/>
        </w:rPr>
        <w:t xml:space="preserve">O prazo de vigência da contratação é de </w:t>
      </w:r>
      <w:r w:rsidR="00AF3F31" w:rsidRPr="00513FC2">
        <w:rPr>
          <w:rFonts w:ascii="Arial" w:eastAsia="Times New Roman" w:hAnsi="Arial" w:cs="Arial"/>
          <w:sz w:val="20"/>
          <w:szCs w:val="20"/>
        </w:rPr>
        <w:t xml:space="preserve">12 meses, </w:t>
      </w:r>
      <w:r w:rsidRPr="00513FC2">
        <w:rPr>
          <w:rFonts w:ascii="Arial" w:eastAsia="Times New Roman" w:hAnsi="Arial" w:cs="Arial"/>
          <w:sz w:val="20"/>
          <w:szCs w:val="20"/>
        </w:rPr>
        <w:t>prorrogável por até 10 anos, na forma dos artigos 106 e 107 da Lei n° 14.133, de 2021.</w:t>
      </w:r>
    </w:p>
    <w:p w14:paraId="6FBEBF67" w14:textId="77777777" w:rsidR="00077B68" w:rsidRPr="00513FC2" w:rsidRDefault="00077B68" w:rsidP="00630D51">
      <w:pPr>
        <w:pStyle w:val="PargrafodaLista"/>
        <w:keepNext/>
        <w:keepLines/>
        <w:pBdr>
          <w:top w:val="nil"/>
          <w:left w:val="nil"/>
          <w:bottom w:val="nil"/>
          <w:right w:val="nil"/>
          <w:between w:val="nil"/>
        </w:pBdr>
        <w:spacing w:before="480" w:line="276" w:lineRule="auto"/>
        <w:ind w:left="284"/>
        <w:jc w:val="both"/>
        <w:rPr>
          <w:rFonts w:ascii="Arial" w:eastAsia="Times New Roman" w:hAnsi="Arial" w:cs="Arial"/>
          <w:sz w:val="20"/>
          <w:szCs w:val="20"/>
        </w:rPr>
      </w:pPr>
    </w:p>
    <w:p w14:paraId="1F5EED7A" w14:textId="2E18A300" w:rsidR="00244FF9" w:rsidRPr="00513FC2" w:rsidRDefault="00077B68" w:rsidP="00603DB6">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w:eastAsia="Times New Roman" w:hAnsi="Arial" w:cs="Arial"/>
          <w:b/>
          <w:bCs/>
          <w:sz w:val="20"/>
          <w:szCs w:val="20"/>
        </w:rPr>
      </w:pPr>
      <w:r w:rsidRPr="00513FC2">
        <w:rPr>
          <w:rFonts w:ascii="Arial" w:eastAsia="Times New Roman" w:hAnsi="Arial" w:cs="Arial"/>
          <w:sz w:val="20"/>
          <w:szCs w:val="20"/>
        </w:rPr>
        <w:t>O serviço é enquadrado como continuado tendo em vista que</w:t>
      </w:r>
      <w:r w:rsidR="00244FF9" w:rsidRPr="00513FC2">
        <w:rPr>
          <w:rFonts w:ascii="Arial" w:eastAsia="Times New Roman" w:hAnsi="Arial" w:cs="Arial"/>
          <w:sz w:val="20"/>
          <w:szCs w:val="20"/>
        </w:rPr>
        <w:t xml:space="preserve"> sua interrupção poderá comprometer as atividades da administração conforme</w:t>
      </w:r>
      <w:r w:rsidRPr="00513FC2">
        <w:rPr>
          <w:rFonts w:ascii="Arial" w:eastAsia="Times New Roman" w:hAnsi="Arial" w:cs="Arial"/>
          <w:sz w:val="20"/>
          <w:szCs w:val="20"/>
        </w:rPr>
        <w:t xml:space="preserve"> o Estudo Técnico Preliminar</w:t>
      </w:r>
      <w:r w:rsidR="00244FF9" w:rsidRPr="00513FC2">
        <w:rPr>
          <w:rFonts w:ascii="Arial" w:eastAsia="Times New Roman" w:hAnsi="Arial" w:cs="Arial"/>
          <w:sz w:val="20"/>
          <w:szCs w:val="20"/>
        </w:rPr>
        <w:t>.</w:t>
      </w:r>
    </w:p>
    <w:p w14:paraId="17C92D13" w14:textId="77777777" w:rsidR="00244FF9" w:rsidRPr="00513FC2" w:rsidRDefault="00244FF9" w:rsidP="00244FF9">
      <w:pPr>
        <w:pStyle w:val="PargrafodaLista"/>
        <w:rPr>
          <w:rFonts w:ascii="Arial" w:eastAsia="Times New Roman" w:hAnsi="Arial" w:cs="Arial"/>
          <w:b/>
          <w:bCs/>
          <w:sz w:val="20"/>
          <w:szCs w:val="20"/>
        </w:rPr>
      </w:pPr>
    </w:p>
    <w:p w14:paraId="11FF4279" w14:textId="77777777" w:rsidR="00C40848" w:rsidRPr="00513FC2" w:rsidRDefault="00C40848" w:rsidP="00C40848">
      <w:pPr>
        <w:pStyle w:val="PargrafodaLista"/>
        <w:rPr>
          <w:rFonts w:ascii="Arial" w:eastAsia="Times New Roman" w:hAnsi="Arial" w:cs="Arial"/>
          <w:sz w:val="20"/>
          <w:szCs w:val="20"/>
        </w:rPr>
      </w:pPr>
    </w:p>
    <w:p w14:paraId="1CBDB567" w14:textId="47065C4C" w:rsidR="00F57BCF" w:rsidRPr="00513FC2"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eastAsia="Times New Roman" w:hAnsi="Arial" w:cs="Arial"/>
          <w:b/>
          <w:bCs/>
          <w:sz w:val="20"/>
          <w:szCs w:val="20"/>
        </w:rPr>
        <w:t>FUNDAMENTAÇÃO E DESCRIÇÃO DA NECESSIDADE DA CONTRATAÇÃO</w:t>
      </w:r>
    </w:p>
    <w:p w14:paraId="5B5F30E3" w14:textId="77777777" w:rsidR="003C0BA2" w:rsidRPr="00513FC2" w:rsidRDefault="003C0BA2" w:rsidP="003C0BA2">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sz w:val="20"/>
          <w:szCs w:val="20"/>
        </w:rPr>
      </w:pPr>
    </w:p>
    <w:p w14:paraId="641C7A5F" w14:textId="079B32D3" w:rsidR="00514523" w:rsidRPr="00513FC2" w:rsidRDefault="00514523" w:rsidP="00514523">
      <w:pPr>
        <w:pStyle w:val="PargrafodaLista"/>
        <w:spacing w:before="120" w:after="120" w:line="276" w:lineRule="auto"/>
        <w:ind w:left="360"/>
        <w:jc w:val="both"/>
        <w:rPr>
          <w:rFonts w:ascii="Arial" w:eastAsia="Times New Roman" w:hAnsi="Arial" w:cs="Arial"/>
          <w:sz w:val="20"/>
          <w:szCs w:val="20"/>
        </w:rPr>
      </w:pPr>
      <w:r w:rsidRPr="00513FC2">
        <w:rPr>
          <w:rFonts w:ascii="Arial" w:eastAsia="Times New Roman" w:hAnsi="Arial" w:cs="Arial"/>
          <w:sz w:val="20"/>
          <w:szCs w:val="20"/>
        </w:rPr>
        <w:t>2.1</w:t>
      </w:r>
      <w:r w:rsidRPr="00513FC2">
        <w:rPr>
          <w:rFonts w:ascii="Arial" w:eastAsia="Times New Roman" w:hAnsi="Arial" w:cs="Arial"/>
          <w:sz w:val="20"/>
          <w:szCs w:val="20"/>
        </w:rPr>
        <w:tab/>
        <w:t xml:space="preserve"> A Fundamentação da Contratação e de seus quantitativos encontra-se pormenorizada em tópico específico dos Estudos Técnicos Preliminares, apêndice deste Termo de Referência.</w:t>
      </w:r>
    </w:p>
    <w:p w14:paraId="67F98352" w14:textId="77777777" w:rsidR="009E2177" w:rsidRPr="00513FC2" w:rsidRDefault="009E2177" w:rsidP="00514523">
      <w:pPr>
        <w:pStyle w:val="PargrafodaLista"/>
        <w:spacing w:before="120" w:after="120" w:line="276" w:lineRule="auto"/>
        <w:ind w:left="360"/>
        <w:jc w:val="both"/>
        <w:rPr>
          <w:rFonts w:ascii="Arial" w:eastAsia="Times New Roman" w:hAnsi="Arial" w:cs="Arial"/>
          <w:sz w:val="20"/>
          <w:szCs w:val="20"/>
        </w:rPr>
      </w:pPr>
    </w:p>
    <w:p w14:paraId="5EA1D269" w14:textId="77777777" w:rsidR="009E2177" w:rsidRPr="00513FC2" w:rsidRDefault="009E2177" w:rsidP="009E2177">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eastAsia="Times New Roman" w:hAnsi="Arial" w:cs="Arial"/>
          <w:b/>
          <w:bCs/>
          <w:sz w:val="20"/>
          <w:szCs w:val="20"/>
        </w:rPr>
        <w:t>DESCRIÇÃO DA SOLUÇÃO COMO UM TODO CONSIDERADO O CICLO DE VIDA DO OBJETO</w:t>
      </w:r>
    </w:p>
    <w:p w14:paraId="0111F02C" w14:textId="77777777" w:rsidR="009E2177" w:rsidRPr="00513FC2" w:rsidRDefault="009E2177" w:rsidP="009E2177">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b/>
          <w:bCs/>
          <w:sz w:val="20"/>
          <w:szCs w:val="20"/>
        </w:rPr>
      </w:pPr>
    </w:p>
    <w:p w14:paraId="28377C49" w14:textId="77777777" w:rsidR="009E2177" w:rsidRPr="00513FC2" w:rsidRDefault="009E2177" w:rsidP="009E2177">
      <w:pPr>
        <w:pStyle w:val="PargrafodaLista"/>
        <w:keepNext/>
        <w:keepLines/>
        <w:numPr>
          <w:ilvl w:val="1"/>
          <w:numId w:val="17"/>
        </w:numPr>
        <w:pBdr>
          <w:top w:val="nil"/>
          <w:left w:val="nil"/>
          <w:bottom w:val="nil"/>
          <w:right w:val="nil"/>
          <w:between w:val="nil"/>
        </w:pBdr>
        <w:spacing w:before="480" w:line="276" w:lineRule="auto"/>
        <w:jc w:val="both"/>
        <w:rPr>
          <w:rFonts w:ascii="Arial" w:eastAsia="Times New Roman" w:hAnsi="Arial" w:cs="Arial"/>
          <w:sz w:val="20"/>
          <w:szCs w:val="20"/>
        </w:rPr>
      </w:pPr>
      <w:r w:rsidRPr="00513FC2">
        <w:rPr>
          <w:rFonts w:ascii="Arial" w:hAnsi="Arial" w:cs="Arial"/>
          <w:sz w:val="20"/>
          <w:szCs w:val="20"/>
        </w:rPr>
        <w:t xml:space="preserve">A </w:t>
      </w:r>
      <w:r w:rsidRPr="00513FC2">
        <w:rPr>
          <w:rFonts w:ascii="Arial" w:eastAsia="Times New Roman" w:hAnsi="Arial" w:cs="Arial"/>
          <w:sz w:val="20"/>
          <w:szCs w:val="20"/>
        </w:rPr>
        <w:t>descrição da solução como um todo encontra-se pormenorizados em tópico específico dos Estudos Preliminares, apêndice deste</w:t>
      </w:r>
      <w:r w:rsidRPr="00513FC2">
        <w:rPr>
          <w:rFonts w:ascii="Arial" w:eastAsia="Times New Roman" w:hAnsi="Arial" w:cs="Arial"/>
          <w:b/>
          <w:bCs/>
          <w:sz w:val="20"/>
          <w:szCs w:val="20"/>
        </w:rPr>
        <w:t xml:space="preserve"> </w:t>
      </w:r>
      <w:r w:rsidRPr="00513FC2">
        <w:rPr>
          <w:rFonts w:ascii="Arial" w:eastAsia="Times New Roman" w:hAnsi="Arial" w:cs="Arial"/>
          <w:sz w:val="20"/>
          <w:szCs w:val="20"/>
        </w:rPr>
        <w:t>Termo de Referência</w:t>
      </w:r>
      <w:r w:rsidRPr="00513FC2">
        <w:rPr>
          <w:rFonts w:ascii="Arial" w:hAnsi="Arial" w:cs="Arial"/>
          <w:sz w:val="20"/>
          <w:szCs w:val="20"/>
        </w:rPr>
        <w:t>.</w:t>
      </w:r>
    </w:p>
    <w:p w14:paraId="73A7CE1D" w14:textId="77777777" w:rsidR="009E2177" w:rsidRPr="00513FC2" w:rsidRDefault="009E2177" w:rsidP="009E2177">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REQUISITOS DA CONTRATAÇÃO</w:t>
      </w:r>
    </w:p>
    <w:p w14:paraId="6DDFA2A1" w14:textId="77777777" w:rsidR="009E2177" w:rsidRPr="00513FC2" w:rsidRDefault="009E2177" w:rsidP="009E2177"/>
    <w:p w14:paraId="3DCF6681" w14:textId="77777777" w:rsidR="006F05DE" w:rsidRPr="00513FC2" w:rsidRDefault="006F05DE" w:rsidP="006F05DE">
      <w:pPr>
        <w:keepNext/>
        <w:keepLines/>
        <w:pBdr>
          <w:top w:val="nil"/>
          <w:left w:val="nil"/>
          <w:bottom w:val="nil"/>
          <w:right w:val="nil"/>
          <w:between w:val="nil"/>
        </w:pBdr>
        <w:shd w:val="clear" w:color="auto" w:fill="FFFFFF" w:themeFill="background1"/>
        <w:spacing w:before="480" w:after="120" w:line="276" w:lineRule="auto"/>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Sustentabilidade</w:t>
      </w:r>
    </w:p>
    <w:p w14:paraId="589C4877" w14:textId="77777777" w:rsidR="006F05DE" w:rsidRPr="00513FC2" w:rsidRDefault="006F05DE" w:rsidP="006F05DE">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Além dos critérios de sustentabilidade eventualmente inseridos na descrição do objeto, devem ser atendidos os seguintes requisitos, que se baseiam no Guia Nacional de Contratações Sustentáveis:</w:t>
      </w:r>
    </w:p>
    <w:p w14:paraId="000EF5C4" w14:textId="3CA5E555" w:rsidR="008E2A5D" w:rsidRPr="00513FC2"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t xml:space="preserve">Subcontratação </w:t>
      </w:r>
    </w:p>
    <w:p w14:paraId="6B937DC2" w14:textId="77777777" w:rsidR="00C0027F" w:rsidRPr="00513FC2"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Não é admitida a subcontratação do objeto contratual.</w:t>
      </w:r>
    </w:p>
    <w:p w14:paraId="29D067F1" w14:textId="520A64D8" w:rsidR="0099033C" w:rsidRPr="00513FC2"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t>Garantia da contratação</w:t>
      </w:r>
    </w:p>
    <w:p w14:paraId="6F1A3B36" w14:textId="3865E62C" w:rsidR="00F57BCF" w:rsidRPr="00513FC2" w:rsidRDefault="004171EE" w:rsidP="008B4B7F">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513FC2">
        <w:rPr>
          <w:rFonts w:ascii="Arial" w:eastAsia="Times New Roman" w:hAnsi="Arial" w:cs="Arial"/>
          <w:sz w:val="20"/>
          <w:szCs w:val="20"/>
        </w:rPr>
        <w:t>Não haverá exigência da garantia da contratação dos artigos 96 e seguintes da Lei nº 14.133, de 2021, pelas razões constantes do Estudo Técnico Preliminar.</w:t>
      </w:r>
    </w:p>
    <w:p w14:paraId="5C5E66AD" w14:textId="4CED6505" w:rsidR="00F57BCF" w:rsidRPr="00513FC2" w:rsidRDefault="002A3F38" w:rsidP="00DC1006">
      <w:pPr>
        <w:numPr>
          <w:ilvl w:val="0"/>
          <w:numId w:val="17"/>
        </w:numPr>
        <w:spacing w:after="120"/>
        <w:jc w:val="both"/>
        <w:rPr>
          <w:rFonts w:ascii="Arial" w:eastAsia="Times New Roman" w:hAnsi="Arial" w:cs="Arial"/>
          <w:sz w:val="20"/>
          <w:szCs w:val="20"/>
          <w:shd w:val="clear" w:color="auto" w:fill="CCCCCC"/>
        </w:rPr>
      </w:pPr>
      <w:r w:rsidRPr="00513FC2">
        <w:rPr>
          <w:rFonts w:ascii="Arial" w:eastAsia="Times New Roman" w:hAnsi="Arial" w:cs="Arial"/>
          <w:b/>
          <w:bCs/>
          <w:sz w:val="20"/>
          <w:szCs w:val="20"/>
        </w:rPr>
        <w:t>MODELO DE EXECUÇÃO DO OBJETO</w:t>
      </w:r>
    </w:p>
    <w:p w14:paraId="773F7236" w14:textId="621B9428" w:rsidR="00E000FC" w:rsidRPr="00513FC2"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513FC2">
        <w:rPr>
          <w:rFonts w:ascii="Arial" w:eastAsia="Times New Roman" w:hAnsi="Arial" w:cs="Arial"/>
          <w:b/>
          <w:bCs/>
          <w:sz w:val="20"/>
          <w:szCs w:val="20"/>
        </w:rPr>
        <w:t>Condições de execução</w:t>
      </w:r>
    </w:p>
    <w:p w14:paraId="730EF659" w14:textId="63E89A9E" w:rsidR="00CA49FF" w:rsidRPr="00513FC2" w:rsidRDefault="0637B879" w:rsidP="002A3F38">
      <w:pPr>
        <w:numPr>
          <w:ilvl w:val="1"/>
          <w:numId w:val="17"/>
        </w:numPr>
        <w:pBdr>
          <w:top w:val="nil"/>
          <w:left w:val="nil"/>
          <w:bottom w:val="nil"/>
          <w:right w:val="nil"/>
          <w:between w:val="nil"/>
        </w:pBdr>
        <w:spacing w:after="120"/>
        <w:jc w:val="both"/>
        <w:rPr>
          <w:rFonts w:ascii="Arial" w:eastAsia="Times New Roman" w:hAnsi="Arial" w:cs="Arial"/>
          <w:sz w:val="20"/>
          <w:szCs w:val="20"/>
        </w:rPr>
      </w:pPr>
      <w:r w:rsidRPr="00513FC2">
        <w:rPr>
          <w:rFonts w:ascii="Arial" w:eastAsia="Times New Roman" w:hAnsi="Arial" w:cs="Arial"/>
          <w:sz w:val="20"/>
          <w:szCs w:val="20"/>
        </w:rPr>
        <w:t xml:space="preserve"> </w:t>
      </w:r>
      <w:r w:rsidR="344332A7" w:rsidRPr="00513FC2">
        <w:rPr>
          <w:rFonts w:ascii="Arial" w:eastAsia="Times New Roman" w:hAnsi="Arial" w:cs="Arial"/>
          <w:sz w:val="20"/>
          <w:szCs w:val="20"/>
        </w:rPr>
        <w:t>A execução do objeto seguirá a seguinte dinâmica:</w:t>
      </w:r>
    </w:p>
    <w:p w14:paraId="5DB64DB6" w14:textId="3EBB847B" w:rsidR="00F8455E" w:rsidRPr="00513FC2" w:rsidRDefault="007E1586" w:rsidP="007E1586">
      <w:pPr>
        <w:pStyle w:val="Nvel3-R"/>
        <w:numPr>
          <w:ilvl w:val="2"/>
          <w:numId w:val="17"/>
        </w:numPr>
        <w:spacing w:afterLines="120" w:after="288" w:line="312" w:lineRule="auto"/>
        <w:rPr>
          <w:i w:val="0"/>
          <w:iCs w:val="0"/>
          <w:color w:val="auto"/>
        </w:rPr>
      </w:pPr>
      <w:r w:rsidRPr="007E1586">
        <w:rPr>
          <w:i w:val="0"/>
          <w:iCs w:val="0"/>
          <w:color w:val="auto"/>
        </w:rPr>
        <w:t>As manutenções deverão ser executadas em dias úteis e em horário comercial (08h00 às 16h00)</w:t>
      </w:r>
      <w:r w:rsidR="00F8455E" w:rsidRPr="00513FC2">
        <w:rPr>
          <w:i w:val="0"/>
          <w:iCs w:val="0"/>
          <w:color w:val="auto"/>
        </w:rPr>
        <w:t xml:space="preserve"> </w:t>
      </w:r>
    </w:p>
    <w:p w14:paraId="5C8C89C3" w14:textId="77777777" w:rsidR="007E1586" w:rsidRPr="007E1586" w:rsidRDefault="007E1586" w:rsidP="007E1586">
      <w:pPr>
        <w:pStyle w:val="PargrafodaLista"/>
        <w:numPr>
          <w:ilvl w:val="2"/>
          <w:numId w:val="17"/>
        </w:numPr>
        <w:jc w:val="both"/>
        <w:rPr>
          <w:rFonts w:ascii="Arial" w:eastAsia="Arial" w:hAnsi="Arial" w:cs="Arial"/>
          <w:sz w:val="20"/>
          <w:szCs w:val="20"/>
        </w:rPr>
      </w:pPr>
      <w:r w:rsidRPr="007E1586">
        <w:rPr>
          <w:rFonts w:ascii="Arial" w:eastAsia="Arial" w:hAnsi="Arial" w:cs="Arial"/>
          <w:sz w:val="20"/>
          <w:szCs w:val="20"/>
        </w:rPr>
        <w:t>Os serviços de manutenção preventiva e corretiva, bem como a instalação e montagem de equipamentos, deverão ser executados por profissionais habilitados (técnicos/mecânicos de refrigeração), de acordo com os manuais dos fabricantes e segundo normas técnicas, utilizando de ferramentas adequadas, com vistas a manter os equipamentos em perfeitas condições de uso e garantindo a adequada refrigeração dos ambientes.</w:t>
      </w:r>
    </w:p>
    <w:p w14:paraId="251C7FBF" w14:textId="77777777" w:rsidR="007E1586" w:rsidRPr="007E1586" w:rsidRDefault="007E1586" w:rsidP="007E1586">
      <w:pPr>
        <w:pStyle w:val="PargrafodaLista"/>
        <w:ind w:left="1440"/>
        <w:jc w:val="both"/>
        <w:rPr>
          <w:rFonts w:ascii="Arial" w:eastAsia="Arial" w:hAnsi="Arial" w:cs="Arial"/>
          <w:sz w:val="20"/>
          <w:szCs w:val="20"/>
        </w:rPr>
      </w:pPr>
    </w:p>
    <w:p w14:paraId="7E912B9A" w14:textId="77777777" w:rsidR="007E1586" w:rsidRP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Os serviços de manutenções preventiva e corretiva incluem ainda a realização de todos os testes elétricos e mecânicos, revisão, calibragem, verificação das condições operacionais do equipamento, análises de vazamentos, condições de lubrificação de componentes internos, eficiência, consumo;</w:t>
      </w:r>
    </w:p>
    <w:p w14:paraId="169C20D6" w14:textId="77777777" w:rsidR="007E1586" w:rsidRPr="007E1586" w:rsidRDefault="007E1586" w:rsidP="007E1586">
      <w:pPr>
        <w:pStyle w:val="PargrafodaLista"/>
        <w:jc w:val="both"/>
        <w:rPr>
          <w:rFonts w:ascii="Arial" w:eastAsiaTheme="minorEastAsia" w:hAnsi="Arial" w:cs="Arial"/>
          <w:sz w:val="20"/>
          <w:szCs w:val="20"/>
        </w:rPr>
      </w:pPr>
    </w:p>
    <w:p w14:paraId="7A2272D4" w14:textId="77777777" w:rsidR="007E1586" w:rsidRPr="007E1586" w:rsidRDefault="007E1586" w:rsidP="007E1586">
      <w:pPr>
        <w:pStyle w:val="PargrafodaLista"/>
        <w:ind w:left="1440"/>
        <w:jc w:val="both"/>
        <w:rPr>
          <w:rFonts w:ascii="Arial" w:eastAsiaTheme="minorEastAsia" w:hAnsi="Arial" w:cs="Arial"/>
          <w:sz w:val="20"/>
          <w:szCs w:val="20"/>
        </w:rPr>
      </w:pPr>
    </w:p>
    <w:p w14:paraId="3A80532C" w14:textId="6C39A2AB" w:rsidR="009E2879" w:rsidRPr="007E1586" w:rsidRDefault="007E1586" w:rsidP="007E1586">
      <w:pPr>
        <w:pStyle w:val="Nvel3-R"/>
        <w:numPr>
          <w:ilvl w:val="2"/>
          <w:numId w:val="17"/>
        </w:numPr>
        <w:spacing w:afterLines="120" w:after="288" w:line="312" w:lineRule="auto"/>
        <w:rPr>
          <w:i w:val="0"/>
          <w:iCs w:val="0"/>
          <w:color w:val="auto"/>
        </w:rPr>
      </w:pPr>
      <w:r w:rsidRPr="007E1586">
        <w:rPr>
          <w:i w:val="0"/>
          <w:iCs w:val="0"/>
          <w:color w:val="auto"/>
        </w:rPr>
        <w:t xml:space="preserve">Nas Manutenções preventivas devem ser executados os serviços de reaperto dos terminais, parafusos e molas, lavagem de serpentinas e bandeja com remoção do biofilme, incluem ainda a realização das seguintes tarefas de limpar/lavar (quando recuperável) ou substituir </w:t>
      </w:r>
      <w:r w:rsidRPr="007E1586">
        <w:rPr>
          <w:i w:val="0"/>
          <w:iCs w:val="0"/>
          <w:color w:val="auto"/>
        </w:rPr>
        <w:lastRenderedPageBreak/>
        <w:t xml:space="preserve">(quando descartável) os elementos filtrantes; limpeza do condensador; limpeza do evaporador; medir e registrar corrente elétrica ventilador/compressor; medir e registrar temperatura ar </w:t>
      </w:r>
      <w:proofErr w:type="spellStart"/>
      <w:r w:rsidRPr="007E1586">
        <w:rPr>
          <w:i w:val="0"/>
          <w:iCs w:val="0"/>
          <w:color w:val="auto"/>
        </w:rPr>
        <w:t>insuflamento</w:t>
      </w:r>
      <w:proofErr w:type="spellEnd"/>
      <w:r w:rsidRPr="007E1586">
        <w:rPr>
          <w:i w:val="0"/>
          <w:iCs w:val="0"/>
          <w:color w:val="auto"/>
        </w:rPr>
        <w:t>, retorno e ambiente; medir e registrar tensão elétrica na alimentação, por compressor e motores; medir o diferencial de pressão; verificar a atuação do termostato; verificar a calibragem e regulagem do termostato de controle de temperatura do ambiente; verificar a válvula reversor; verificar a vedação dos painéis de fechamento do gabinete; recarga de gás R-22 quando necessário</w:t>
      </w:r>
    </w:p>
    <w:p w14:paraId="19DAF3C3" w14:textId="77777777" w:rsidR="007E1586" w:rsidRPr="007E1586" w:rsidRDefault="007E1586" w:rsidP="007E1586">
      <w:pPr>
        <w:pStyle w:val="PargrafodaLista"/>
        <w:numPr>
          <w:ilvl w:val="2"/>
          <w:numId w:val="17"/>
        </w:numPr>
        <w:jc w:val="both"/>
        <w:rPr>
          <w:rFonts w:ascii="Arial" w:eastAsia="Times New Roman" w:hAnsi="Arial" w:cstheme="minorHAnsi"/>
          <w:sz w:val="20"/>
          <w:szCs w:val="20"/>
        </w:rPr>
      </w:pPr>
      <w:r w:rsidRPr="007E1586">
        <w:rPr>
          <w:rFonts w:ascii="Arial" w:eastAsia="Times New Roman" w:hAnsi="Arial" w:cstheme="minorHAnsi"/>
          <w:sz w:val="20"/>
          <w:szCs w:val="20"/>
        </w:rPr>
        <w:t>A execução dos serviços deverá atender as solicitações da contratante, quantas vezes forem necessárias atentando as quantidades de serviços contidas nos itens específicos da tabela do item 1.1 do presente Termo de Referência e os chamados para a instalação ou remanejamento deverão ser atendidos no prazo máximo de 48 (quarenta e oito) horas após a solicitação.</w:t>
      </w:r>
    </w:p>
    <w:p w14:paraId="7947DFD6" w14:textId="77777777" w:rsidR="007E1586" w:rsidRPr="007E1586" w:rsidRDefault="007E1586" w:rsidP="007E1586">
      <w:pPr>
        <w:pStyle w:val="PargrafodaLista"/>
        <w:ind w:left="1440"/>
        <w:jc w:val="both"/>
        <w:rPr>
          <w:rFonts w:ascii="Arial" w:eastAsia="Times New Roman" w:hAnsi="Arial" w:cstheme="minorHAnsi"/>
          <w:sz w:val="20"/>
          <w:szCs w:val="20"/>
        </w:rPr>
      </w:pPr>
    </w:p>
    <w:p w14:paraId="79D79195" w14:textId="77777777" w:rsidR="007E1586" w:rsidRP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Sempre que a CONTRATANTE constatar que algum equipamento não esteja funcionando corretamente, a mesma abrirá chamado técnico, através de e-mail, ordem de serviço ou telefone, que deverão ser disponibilizados pela CONTRATADA;</w:t>
      </w:r>
    </w:p>
    <w:p w14:paraId="37ED98B0" w14:textId="77777777" w:rsidR="007E1586" w:rsidRPr="007E1586" w:rsidRDefault="007E1586" w:rsidP="007E1586">
      <w:pPr>
        <w:pStyle w:val="PargrafodaLista"/>
        <w:jc w:val="both"/>
        <w:rPr>
          <w:rFonts w:ascii="Arial" w:eastAsiaTheme="minorEastAsia" w:hAnsi="Arial" w:cs="Arial"/>
          <w:sz w:val="20"/>
          <w:szCs w:val="20"/>
        </w:rPr>
      </w:pPr>
    </w:p>
    <w:p w14:paraId="73D11A5F" w14:textId="77777777" w:rsidR="007E1586" w:rsidRPr="007E1586" w:rsidRDefault="007E1586" w:rsidP="007E1586">
      <w:pPr>
        <w:pStyle w:val="PargrafodaLista"/>
        <w:ind w:left="1440"/>
        <w:jc w:val="both"/>
        <w:rPr>
          <w:rFonts w:ascii="Arial" w:eastAsiaTheme="minorEastAsia" w:hAnsi="Arial" w:cs="Arial"/>
          <w:sz w:val="20"/>
          <w:szCs w:val="20"/>
        </w:rPr>
      </w:pPr>
    </w:p>
    <w:p w14:paraId="1BC2F5F8" w14:textId="77777777" w:rsidR="007E1586" w:rsidRP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Caso os serviços de manutenção corretiva não possam ser executados nas dependências da CONTRATANTE, os aparelhos poderão ser removidos para o centro de atendimento da CONTRATADA, mediante prévia aprovação pela FISCALIZAÇÃO, a qual autorizará a saída dos aparelhos;</w:t>
      </w:r>
    </w:p>
    <w:p w14:paraId="4FDF5BEF" w14:textId="77777777" w:rsidR="007E1586" w:rsidRPr="007E1586" w:rsidRDefault="007E1586" w:rsidP="007E1586">
      <w:pPr>
        <w:pStyle w:val="PargrafodaLista"/>
        <w:ind w:left="1440"/>
        <w:jc w:val="both"/>
        <w:rPr>
          <w:rFonts w:ascii="Arial" w:eastAsiaTheme="minorEastAsia" w:hAnsi="Arial" w:cs="Arial"/>
          <w:sz w:val="20"/>
          <w:szCs w:val="20"/>
        </w:rPr>
      </w:pPr>
    </w:p>
    <w:p w14:paraId="3B1E39A7"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Nos serviços relativos às manutenções preventivas e corretivas já deverão estar inclusos nos preços propostos as despesas com a desinstalação e a reinstalação dos aparelhos não podendo a CONTRATADA cobrar por esses serviços nestes tipos de manutenções;</w:t>
      </w:r>
    </w:p>
    <w:p w14:paraId="20AE64F4" w14:textId="77777777" w:rsidR="007E1586" w:rsidRPr="007E1586" w:rsidRDefault="007E1586" w:rsidP="007E1586">
      <w:pPr>
        <w:pStyle w:val="PargrafodaLista"/>
        <w:rPr>
          <w:rFonts w:ascii="Arial" w:eastAsiaTheme="minorEastAsia" w:hAnsi="Arial" w:cs="Arial"/>
          <w:sz w:val="20"/>
          <w:szCs w:val="20"/>
        </w:rPr>
      </w:pPr>
    </w:p>
    <w:p w14:paraId="16B7B52E" w14:textId="77777777" w:rsidR="007E1586" w:rsidRPr="007E1586" w:rsidRDefault="007E1586" w:rsidP="007E1586">
      <w:pPr>
        <w:pStyle w:val="PargrafodaLista"/>
        <w:ind w:left="1440"/>
        <w:jc w:val="both"/>
        <w:rPr>
          <w:rFonts w:ascii="Arial" w:eastAsiaTheme="minorEastAsia" w:hAnsi="Arial" w:cs="Arial"/>
          <w:sz w:val="20"/>
          <w:szCs w:val="20"/>
        </w:rPr>
      </w:pPr>
    </w:p>
    <w:p w14:paraId="05A4A089"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A manutenção corretiva incluirá toda mão-de-obra, ferramentas, materiais de consumo, transportes e peças, necessários para reparar e/ou substituir as peças dos equipamentos a serem manutenidos;</w:t>
      </w:r>
    </w:p>
    <w:p w14:paraId="24948927" w14:textId="77777777" w:rsidR="007E1586" w:rsidRPr="007E1586" w:rsidRDefault="007E1586" w:rsidP="007E1586">
      <w:pPr>
        <w:pStyle w:val="PargrafodaLista"/>
        <w:ind w:left="1440"/>
        <w:jc w:val="both"/>
        <w:rPr>
          <w:rFonts w:ascii="Arial" w:eastAsiaTheme="minorEastAsia" w:hAnsi="Arial" w:cs="Arial"/>
          <w:sz w:val="20"/>
          <w:szCs w:val="20"/>
        </w:rPr>
      </w:pPr>
    </w:p>
    <w:p w14:paraId="7DD6D463"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Todos os serviços concluídos deverão ser testados pela CONTRATADA, sob sua responsabilidade técnica e financeira, na presença do FISCAL do contrato, ficando sua aceitação final condicionada ao bom desempenho dos aparelhos nos referidos testes;</w:t>
      </w:r>
    </w:p>
    <w:p w14:paraId="1EA08C69" w14:textId="77777777" w:rsidR="007E1586" w:rsidRPr="007E1586" w:rsidRDefault="007E1586" w:rsidP="007E1586">
      <w:pPr>
        <w:pStyle w:val="PargrafodaLista"/>
        <w:rPr>
          <w:rFonts w:ascii="Arial" w:eastAsiaTheme="minorEastAsia" w:hAnsi="Arial" w:cs="Arial"/>
          <w:sz w:val="20"/>
          <w:szCs w:val="20"/>
        </w:rPr>
      </w:pPr>
    </w:p>
    <w:p w14:paraId="6461FFD5" w14:textId="77777777" w:rsidR="007E1586" w:rsidRPr="007E1586" w:rsidRDefault="007E1586" w:rsidP="007E1586">
      <w:pPr>
        <w:pStyle w:val="PargrafodaLista"/>
        <w:ind w:left="1440"/>
        <w:jc w:val="both"/>
        <w:rPr>
          <w:rFonts w:ascii="Arial" w:eastAsiaTheme="minorEastAsia" w:hAnsi="Arial" w:cs="Arial"/>
          <w:sz w:val="20"/>
          <w:szCs w:val="20"/>
        </w:rPr>
      </w:pPr>
    </w:p>
    <w:p w14:paraId="08F7061A"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 xml:space="preserve">A CONTRATADA garantirá, pelo período de 90 (noventa) dias, os serviços por ela executados, inclusive as manutenções preventivas, a contar da data da realização dos serviços ou da instalação do equipamento; </w:t>
      </w:r>
    </w:p>
    <w:p w14:paraId="2EE107BC" w14:textId="77777777" w:rsidR="007E1586" w:rsidRPr="007E1586" w:rsidRDefault="007E1586" w:rsidP="007E1586">
      <w:pPr>
        <w:pStyle w:val="PargrafodaLista"/>
        <w:ind w:left="1440"/>
        <w:jc w:val="both"/>
        <w:rPr>
          <w:rFonts w:ascii="Arial" w:eastAsiaTheme="minorEastAsia" w:hAnsi="Arial" w:cs="Arial"/>
          <w:sz w:val="20"/>
          <w:szCs w:val="20"/>
        </w:rPr>
      </w:pPr>
    </w:p>
    <w:p w14:paraId="369FF454"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Todos os componentes destinados à reparação dos aparelhos deverão ser novos e originais, com garantia mínima de 90 (noventa) dias, contados a partir da data de sua instalação;</w:t>
      </w:r>
    </w:p>
    <w:p w14:paraId="22A09A4F" w14:textId="77777777" w:rsidR="007E1586" w:rsidRPr="007E1586" w:rsidRDefault="007E1586" w:rsidP="007E1586">
      <w:pPr>
        <w:pStyle w:val="PargrafodaLista"/>
        <w:rPr>
          <w:rFonts w:ascii="Arial" w:eastAsiaTheme="minorEastAsia" w:hAnsi="Arial" w:cs="Arial"/>
          <w:sz w:val="20"/>
          <w:szCs w:val="20"/>
        </w:rPr>
      </w:pPr>
    </w:p>
    <w:p w14:paraId="41D4FAA6" w14:textId="77777777" w:rsidR="007E1586" w:rsidRPr="007E1586" w:rsidRDefault="007E1586" w:rsidP="007E1586">
      <w:pPr>
        <w:pStyle w:val="PargrafodaLista"/>
        <w:ind w:left="1440"/>
        <w:jc w:val="both"/>
        <w:rPr>
          <w:rFonts w:ascii="Arial" w:eastAsiaTheme="minorEastAsia" w:hAnsi="Arial" w:cs="Arial"/>
          <w:sz w:val="20"/>
          <w:szCs w:val="20"/>
        </w:rPr>
      </w:pPr>
    </w:p>
    <w:p w14:paraId="378D35AC"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A CONTRATADA deverá executar os serviços utilizando-se dos materiais, instrumentos, equipamentos e ferramentas necessários à perfeita execução contratual, inclusive deverá arcar com todos os custos;</w:t>
      </w:r>
    </w:p>
    <w:p w14:paraId="5E8FE1D8" w14:textId="77777777" w:rsidR="007E1586" w:rsidRPr="007E1586" w:rsidRDefault="007E1586" w:rsidP="007E1586">
      <w:pPr>
        <w:pStyle w:val="PargrafodaLista"/>
        <w:ind w:left="1440"/>
        <w:jc w:val="both"/>
        <w:rPr>
          <w:rFonts w:ascii="Arial" w:eastAsiaTheme="minorEastAsia" w:hAnsi="Arial" w:cs="Arial"/>
          <w:sz w:val="20"/>
          <w:szCs w:val="20"/>
        </w:rPr>
      </w:pPr>
    </w:p>
    <w:p w14:paraId="54C544CF" w14:textId="77777777" w:rsidR="007E1586" w:rsidRP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Especificação dos serviços de manutenção corretiva eventual: a manutenção corretiva tem por objetivo o restabelecimento dos componentes dos sistemas às condições ideais de funcionamento, eliminando defeitos mediante a execução de regulagens, ajustes mecânicos e eletrônicos, bem como, substituição de peças, componentes e/ou acessórios que se apresentarem danificados, gastos ou defeituosos, o que deverá ser atestado por meio de laudo técnico específico, assinado pelo Técnico responsável da CONTRATADA, o qual deverá conter a discriminação do defeito;</w:t>
      </w:r>
    </w:p>
    <w:p w14:paraId="1900FD1A" w14:textId="77777777" w:rsidR="007E1586" w:rsidRDefault="007E1586" w:rsidP="007E1586">
      <w:pPr>
        <w:pStyle w:val="PargrafodaLista"/>
        <w:numPr>
          <w:ilvl w:val="2"/>
          <w:numId w:val="17"/>
        </w:numPr>
        <w:jc w:val="both"/>
        <w:rPr>
          <w:rFonts w:ascii="Arial" w:eastAsiaTheme="minorEastAsia" w:hAnsi="Arial" w:cs="Arial"/>
          <w:sz w:val="22"/>
          <w:szCs w:val="22"/>
        </w:rPr>
      </w:pPr>
      <w:r w:rsidRPr="007E1586">
        <w:rPr>
          <w:rFonts w:ascii="Arial" w:eastAsiaTheme="minorEastAsia" w:hAnsi="Arial" w:cs="Arial"/>
          <w:sz w:val="20"/>
          <w:szCs w:val="20"/>
        </w:rPr>
        <w:lastRenderedPageBreak/>
        <w:t>A manutenção corretiva será realizada sempre que necessário e a qualquer tempo, devendo a CONTRATADA comunicar imediatamente os problemas identificados à CONTRATANTE, por escrito, solicitando autorização para execução dos serviços</w:t>
      </w:r>
      <w:r w:rsidRPr="007E1586">
        <w:rPr>
          <w:rFonts w:ascii="Arial" w:eastAsiaTheme="minorEastAsia" w:hAnsi="Arial" w:cs="Arial"/>
          <w:sz w:val="22"/>
          <w:szCs w:val="22"/>
        </w:rPr>
        <w:t>;</w:t>
      </w:r>
    </w:p>
    <w:p w14:paraId="013F014C" w14:textId="77777777" w:rsidR="007E1586" w:rsidRPr="007E1586" w:rsidRDefault="007E1586" w:rsidP="007E1586">
      <w:pPr>
        <w:pStyle w:val="PargrafodaLista"/>
        <w:ind w:left="1440"/>
        <w:jc w:val="both"/>
        <w:rPr>
          <w:rFonts w:ascii="Arial" w:eastAsiaTheme="minorEastAsia" w:hAnsi="Arial" w:cs="Arial"/>
          <w:sz w:val="22"/>
          <w:szCs w:val="22"/>
        </w:rPr>
      </w:pPr>
    </w:p>
    <w:p w14:paraId="758C7980"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A CONTRATADA deverá observar que, nos casos de manutenção corretiva com substituição de peças, equipamentos ou acessórios, o prazo para normalização do sistema será de, no máximo, 05 (cinco) dias;</w:t>
      </w:r>
    </w:p>
    <w:p w14:paraId="3C9422C7" w14:textId="77777777" w:rsidR="007E1586" w:rsidRPr="007E1586" w:rsidRDefault="007E1586" w:rsidP="007E1586">
      <w:pPr>
        <w:pStyle w:val="PargrafodaLista"/>
        <w:rPr>
          <w:rFonts w:ascii="Arial" w:eastAsiaTheme="minorEastAsia" w:hAnsi="Arial" w:cs="Arial"/>
          <w:sz w:val="20"/>
          <w:szCs w:val="20"/>
        </w:rPr>
      </w:pPr>
    </w:p>
    <w:p w14:paraId="2AD4B0EC" w14:textId="77777777" w:rsidR="007E1586" w:rsidRPr="007E1586" w:rsidRDefault="007E1586" w:rsidP="007E1586">
      <w:pPr>
        <w:pStyle w:val="PargrafodaLista"/>
        <w:ind w:left="1440"/>
        <w:jc w:val="both"/>
        <w:rPr>
          <w:rFonts w:ascii="Arial" w:eastAsiaTheme="minorEastAsia" w:hAnsi="Arial" w:cs="Arial"/>
          <w:sz w:val="20"/>
          <w:szCs w:val="20"/>
        </w:rPr>
      </w:pPr>
    </w:p>
    <w:p w14:paraId="65F38796" w14:textId="77777777" w:rsidR="007E1586" w:rsidRDefault="007E1586" w:rsidP="007E1586">
      <w:pPr>
        <w:pStyle w:val="PargrafodaLista"/>
        <w:numPr>
          <w:ilvl w:val="2"/>
          <w:numId w:val="17"/>
        </w:numPr>
        <w:jc w:val="both"/>
        <w:rPr>
          <w:rFonts w:ascii="Arial" w:eastAsiaTheme="minorEastAsia" w:hAnsi="Arial" w:cs="Arial"/>
          <w:sz w:val="20"/>
          <w:szCs w:val="20"/>
        </w:rPr>
      </w:pPr>
      <w:r w:rsidRPr="007E1586">
        <w:rPr>
          <w:rFonts w:ascii="Arial" w:eastAsiaTheme="minorEastAsia" w:hAnsi="Arial" w:cs="Arial"/>
          <w:sz w:val="20"/>
          <w:szCs w:val="20"/>
        </w:rPr>
        <w:t>Instalação/manutenção de ar-condicionado: a contratação das quantidades de serviço constantes do subitem 1.1, deste TR, dependerá da demanda desta Unidade, levando em consideração o modelo do aparelho.</w:t>
      </w:r>
    </w:p>
    <w:p w14:paraId="1BE368F3" w14:textId="77777777" w:rsidR="00D11450" w:rsidRPr="007E1586" w:rsidRDefault="00D11450" w:rsidP="00D11450">
      <w:pPr>
        <w:pStyle w:val="PargrafodaLista"/>
        <w:ind w:left="1440"/>
        <w:jc w:val="both"/>
        <w:rPr>
          <w:rFonts w:ascii="Arial" w:eastAsiaTheme="minorEastAsia" w:hAnsi="Arial" w:cs="Arial"/>
          <w:sz w:val="20"/>
          <w:szCs w:val="20"/>
        </w:rPr>
      </w:pPr>
    </w:p>
    <w:p w14:paraId="3898B24C" w14:textId="77777777" w:rsidR="00D11450" w:rsidRPr="00D11450" w:rsidRDefault="00D11450" w:rsidP="00D11450">
      <w:pPr>
        <w:pStyle w:val="PargrafodaLista"/>
        <w:numPr>
          <w:ilvl w:val="2"/>
          <w:numId w:val="17"/>
        </w:numPr>
        <w:jc w:val="both"/>
        <w:rPr>
          <w:rFonts w:ascii="Arial" w:eastAsiaTheme="minorEastAsia" w:hAnsi="Arial" w:cs="Arial"/>
          <w:sz w:val="20"/>
          <w:szCs w:val="20"/>
        </w:rPr>
      </w:pPr>
      <w:r w:rsidRPr="00D11450">
        <w:rPr>
          <w:rFonts w:ascii="Arial" w:eastAsiaTheme="minorEastAsia" w:hAnsi="Arial" w:cs="Arial"/>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49EAAB9A" w14:textId="77777777" w:rsidR="00482533" w:rsidRPr="00513FC2" w:rsidRDefault="00482533" w:rsidP="00482533">
      <w:pPr>
        <w:pStyle w:val="Nvel1-SemNum"/>
        <w:spacing w:before="120" w:afterLines="120" w:after="288" w:line="312" w:lineRule="auto"/>
        <w:ind w:left="0" w:firstLine="709"/>
        <w:rPr>
          <w:color w:val="auto"/>
        </w:rPr>
      </w:pPr>
      <w:r w:rsidRPr="00513FC2">
        <w:rPr>
          <w:color w:val="auto"/>
        </w:rPr>
        <w:t>Materiais a serem disponibilizados</w:t>
      </w:r>
    </w:p>
    <w:p w14:paraId="1D4EDD77" w14:textId="7542C8FB" w:rsidR="00482533" w:rsidRPr="00513FC2" w:rsidRDefault="007E1586" w:rsidP="007E1586">
      <w:pPr>
        <w:pStyle w:val="Nvel2-Red"/>
        <w:numPr>
          <w:ilvl w:val="1"/>
          <w:numId w:val="17"/>
        </w:numPr>
        <w:spacing w:afterLines="120" w:after="288" w:line="312" w:lineRule="auto"/>
        <w:rPr>
          <w:i w:val="0"/>
          <w:iCs w:val="0"/>
          <w:color w:val="auto"/>
        </w:rPr>
      </w:pPr>
      <w:r w:rsidRPr="007E1586">
        <w:rPr>
          <w:i w:val="0"/>
          <w:iCs w:val="0"/>
          <w:color w:val="auto"/>
        </w:rPr>
        <w:t>A contratada se obrigará pelo fornecimento de todo material necessário para a execução do serviço e todo equipamento de proteção individual (</w:t>
      </w:r>
      <w:proofErr w:type="spellStart"/>
      <w:r w:rsidRPr="007E1586">
        <w:rPr>
          <w:i w:val="0"/>
          <w:iCs w:val="0"/>
          <w:color w:val="auto"/>
        </w:rPr>
        <w:t>EPI’s</w:t>
      </w:r>
      <w:proofErr w:type="spellEnd"/>
      <w:r w:rsidRPr="007E1586">
        <w:rPr>
          <w:i w:val="0"/>
          <w:iCs w:val="0"/>
          <w:color w:val="auto"/>
        </w:rPr>
        <w:t>), ferramentas e mão de obra especializada.</w:t>
      </w:r>
    </w:p>
    <w:p w14:paraId="0D2B5E52" w14:textId="77777777" w:rsidR="00482533" w:rsidRPr="00513FC2" w:rsidRDefault="00482533" w:rsidP="00482533">
      <w:pPr>
        <w:pStyle w:val="Nvel1-SemNum"/>
        <w:spacing w:before="120" w:afterLines="120" w:after="288" w:line="312" w:lineRule="auto"/>
        <w:ind w:left="0" w:firstLine="709"/>
        <w:rPr>
          <w:rFonts w:eastAsia="Calibri"/>
          <w:color w:val="auto"/>
        </w:rPr>
      </w:pPr>
      <w:r w:rsidRPr="00513FC2">
        <w:rPr>
          <w:color w:val="auto"/>
        </w:rPr>
        <w:t>Especificação da garantia do serviço (</w:t>
      </w:r>
      <w:hyperlink r:id="rId8" w:anchor="art40§1" w:history="1">
        <w:r w:rsidRPr="00513FC2">
          <w:rPr>
            <w:rStyle w:val="Hyperlink"/>
            <w:color w:val="auto"/>
            <w:u w:val="none"/>
          </w:rPr>
          <w:t>art. 40, §1º, inciso III, da Lei nº 14.133, de 2021</w:t>
        </w:r>
      </w:hyperlink>
      <w:r w:rsidRPr="00513FC2">
        <w:rPr>
          <w:color w:val="auto"/>
        </w:rPr>
        <w:t>)</w:t>
      </w:r>
    </w:p>
    <w:p w14:paraId="53CE34F2" w14:textId="77777777" w:rsidR="00482533" w:rsidRPr="00513FC2" w:rsidRDefault="00482533" w:rsidP="00482533">
      <w:pPr>
        <w:pStyle w:val="Nvel2-Red"/>
        <w:numPr>
          <w:ilvl w:val="1"/>
          <w:numId w:val="17"/>
        </w:numPr>
        <w:spacing w:afterLines="120" w:after="288" w:line="312" w:lineRule="auto"/>
        <w:rPr>
          <w:i w:val="0"/>
          <w:iCs w:val="0"/>
          <w:color w:val="auto"/>
        </w:rPr>
      </w:pPr>
      <w:r w:rsidRPr="00513FC2">
        <w:rPr>
          <w:i w:val="0"/>
          <w:iCs w:val="0"/>
          <w:color w:val="auto"/>
        </w:rPr>
        <w:t xml:space="preserve">O prazo de garantia contratual dos serviços é aquele estabelecido </w:t>
      </w:r>
      <w:hyperlink r:id="rId9" w:history="1">
        <w:r w:rsidRPr="00513FC2">
          <w:rPr>
            <w:rStyle w:val="Hyperlink"/>
            <w:i w:val="0"/>
            <w:iCs w:val="0"/>
            <w:color w:val="auto"/>
            <w:u w:val="none"/>
          </w:rPr>
          <w:t>na Lei nº 8.078, de 11 de setembro de 1990</w:t>
        </w:r>
      </w:hyperlink>
      <w:r w:rsidRPr="00513FC2">
        <w:rPr>
          <w:i w:val="0"/>
          <w:iCs w:val="0"/>
          <w:color w:val="auto"/>
        </w:rPr>
        <w:t xml:space="preserve"> (Código de Defesa do Consumidor).</w:t>
      </w:r>
    </w:p>
    <w:p w14:paraId="71EF1CBB" w14:textId="670539B8" w:rsidR="00CE6FD1" w:rsidRPr="00513FC2" w:rsidRDefault="00CE6FD1" w:rsidP="00CE6FD1">
      <w:pPr>
        <w:pStyle w:val="Nvel2-Red"/>
        <w:numPr>
          <w:ilvl w:val="0"/>
          <w:numId w:val="17"/>
        </w:numPr>
        <w:spacing w:afterLines="120" w:after="288" w:line="312" w:lineRule="auto"/>
        <w:rPr>
          <w:b/>
          <w:bCs/>
          <w:i w:val="0"/>
          <w:iCs w:val="0"/>
          <w:color w:val="auto"/>
        </w:rPr>
      </w:pPr>
      <w:r w:rsidRPr="00513FC2">
        <w:rPr>
          <w:b/>
          <w:bCs/>
          <w:i w:val="0"/>
          <w:iCs w:val="0"/>
          <w:color w:val="auto"/>
        </w:rPr>
        <w:t>MODELO DE GESTÃO DO CONTRATO</w:t>
      </w:r>
    </w:p>
    <w:p w14:paraId="05706637"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O contrato deverá ser executado fielmente pelas partes, de acordo com as cláusulas avençadas e as normas da Lei nº 14.133, de 2021, e cada parte responderá pelas consequências de sua inexecução total ou parcial</w:t>
      </w:r>
      <w:r w:rsidRPr="00513FC2">
        <w:rPr>
          <w:rFonts w:eastAsia="Arial"/>
          <w:i w:val="0"/>
          <w:iCs w:val="0"/>
          <w:color w:val="auto"/>
        </w:rPr>
        <w:t>.</w:t>
      </w:r>
    </w:p>
    <w:p w14:paraId="401C6C6E"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As comunicações entre o órgão ou entidade e a contratada devem ser realizadas por escrito sempre que o ato exigir tal formalidade, admitindo-se o uso de mensagem eletrônica para esse fim.</w:t>
      </w:r>
    </w:p>
    <w:p w14:paraId="554D9614" w14:textId="77777777" w:rsidR="00FC1436"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O órgão ou entidade poderá convocar representante da empresa para adoção de providências que devam ser cumpridas de imediato.</w:t>
      </w:r>
    </w:p>
    <w:p w14:paraId="329866A7" w14:textId="77777777" w:rsidR="003855D8" w:rsidRPr="00513FC2" w:rsidRDefault="00F86C31"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513FC2" w:rsidRDefault="00897D8B" w:rsidP="00F7339C">
      <w:pPr>
        <w:pStyle w:val="Nvel2-Red"/>
        <w:numPr>
          <w:ilvl w:val="1"/>
          <w:numId w:val="17"/>
        </w:numPr>
        <w:spacing w:afterLines="120" w:after="288" w:line="312" w:lineRule="auto"/>
        <w:ind w:left="709" w:firstLine="0"/>
        <w:rPr>
          <w:i w:val="0"/>
          <w:iCs w:val="0"/>
          <w:color w:val="auto"/>
        </w:rPr>
      </w:pPr>
      <w:r w:rsidRPr="00513FC2">
        <w:rPr>
          <w:i w:val="0"/>
          <w:iCs w:val="0"/>
          <w:color w:val="auto"/>
        </w:rPr>
        <w:lastRenderedPageBreak/>
        <w:t>A execução do contrato deverá ser acompanhada e fiscalizada pelo(s) fiscal(</w:t>
      </w:r>
      <w:proofErr w:type="spellStart"/>
      <w:r w:rsidRPr="00513FC2">
        <w:rPr>
          <w:i w:val="0"/>
          <w:iCs w:val="0"/>
          <w:color w:val="auto"/>
        </w:rPr>
        <w:t>is</w:t>
      </w:r>
      <w:proofErr w:type="spellEnd"/>
      <w:r w:rsidRPr="00513FC2">
        <w:rPr>
          <w:i w:val="0"/>
          <w:iCs w:val="0"/>
          <w:color w:val="auto"/>
        </w:rPr>
        <w:t xml:space="preserve">) do contrato, ou pelos respectivos substitutos </w:t>
      </w:r>
      <w:hyperlink r:id="rId10" w:anchor="art117" w:history="1">
        <w:r w:rsidRPr="00513FC2">
          <w:rPr>
            <w:rStyle w:val="Hyperlink"/>
            <w:i w:val="0"/>
            <w:iCs w:val="0"/>
            <w:color w:val="auto"/>
            <w:u w:val="none"/>
          </w:rPr>
          <w:t>(Lei nº 14.133, de 2021, art. 117, caput</w:t>
        </w:r>
      </w:hyperlink>
      <w:r w:rsidRPr="00513FC2">
        <w:rPr>
          <w:i w:val="0"/>
          <w:iCs w:val="0"/>
          <w:color w:val="auto"/>
        </w:rPr>
        <w:t>).</w:t>
      </w:r>
    </w:p>
    <w:p w14:paraId="7D0CBF04" w14:textId="77777777" w:rsidR="00FF6F2B" w:rsidRPr="00513FC2" w:rsidRDefault="00897D8B" w:rsidP="007E08AF">
      <w:pPr>
        <w:pStyle w:val="Nvel2-Red"/>
        <w:numPr>
          <w:ilvl w:val="1"/>
          <w:numId w:val="17"/>
        </w:numPr>
        <w:spacing w:afterLines="120" w:after="288" w:line="312" w:lineRule="auto"/>
        <w:ind w:left="709" w:firstLine="0"/>
        <w:rPr>
          <w:i w:val="0"/>
          <w:iCs w:val="0"/>
          <w:color w:val="auto"/>
        </w:rPr>
      </w:pPr>
      <w:r w:rsidRPr="00513FC2">
        <w:rPr>
          <w:i w:val="0"/>
          <w:iCs w:val="0"/>
          <w:color w:val="auto"/>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513FC2" w:rsidRDefault="00897D8B" w:rsidP="008F7361">
      <w:pPr>
        <w:pStyle w:val="Nvel2-Red"/>
        <w:numPr>
          <w:ilvl w:val="2"/>
          <w:numId w:val="17"/>
        </w:numPr>
        <w:spacing w:afterLines="120" w:after="288" w:line="312" w:lineRule="auto"/>
        <w:ind w:left="993" w:firstLine="0"/>
        <w:rPr>
          <w:i w:val="0"/>
          <w:iCs w:val="0"/>
          <w:color w:val="auto"/>
        </w:rPr>
      </w:pPr>
      <w:r w:rsidRPr="00513FC2">
        <w:rPr>
          <w:i w:val="0"/>
          <w:iCs w:val="0"/>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513FC2">
          <w:rPr>
            <w:rStyle w:val="Hyperlink"/>
            <w:i w:val="0"/>
            <w:iCs w:val="0"/>
            <w:color w:val="auto"/>
            <w:u w:val="none"/>
          </w:rPr>
          <w:t>Lei nº 14.133, de 2021, art. 117, §1º</w:t>
        </w:r>
      </w:hyperlink>
      <w:r w:rsidR="007E08AF" w:rsidRPr="00513FC2">
        <w:rPr>
          <w:i w:val="0"/>
          <w:iCs w:val="0"/>
          <w:color w:val="auto"/>
        </w:rPr>
        <w:t>)</w:t>
      </w:r>
    </w:p>
    <w:p w14:paraId="39589834"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594BFDA8"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69A0C95"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A12A7D3"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67C01035"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3B67E1DB" w14:textId="77777777" w:rsidR="007E08AF" w:rsidRPr="00513FC2"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8607F8"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4E86BB45"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A098825"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90AD57F"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2D74D8A0"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8683372"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DA3E80" w14:textId="77777777" w:rsidR="007E08AF" w:rsidRPr="00513FC2"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11A2939C" w14:textId="77777777" w:rsidR="007E08AF" w:rsidRPr="00513FC2" w:rsidRDefault="007E08AF" w:rsidP="008F7361">
      <w:pPr>
        <w:pStyle w:val="PargrafodaLista"/>
        <w:keepNext/>
        <w:keepLines/>
        <w:numPr>
          <w:ilvl w:val="2"/>
          <w:numId w:val="9"/>
        </w:numPr>
        <w:spacing w:before="480" w:line="276" w:lineRule="auto"/>
        <w:ind w:left="993"/>
        <w:contextualSpacing w:val="0"/>
        <w:jc w:val="both"/>
        <w:outlineLvl w:val="0"/>
        <w:rPr>
          <w:rFonts w:ascii="Arial" w:eastAsiaTheme="majorEastAsia" w:hAnsi="Arial" w:cs="Times New Roman"/>
          <w:b/>
          <w:vanish/>
          <w:sz w:val="20"/>
          <w:szCs w:val="20"/>
        </w:rPr>
      </w:pPr>
    </w:p>
    <w:p w14:paraId="05E7DFF3" w14:textId="53E51900" w:rsidR="00897D8B" w:rsidRPr="00513FC2" w:rsidRDefault="00897D8B" w:rsidP="008F7361">
      <w:pPr>
        <w:pStyle w:val="Nivel3"/>
        <w:numPr>
          <w:ilvl w:val="2"/>
          <w:numId w:val="9"/>
        </w:numPr>
        <w:ind w:left="993" w:firstLine="0"/>
        <w:rPr>
          <w:color w:val="auto"/>
        </w:rPr>
      </w:pPr>
      <w:r w:rsidRPr="00513FC2">
        <w:rPr>
          <w:color w:val="auto"/>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No caso de ocorrências que possam inviabilizar a execução do contrato nas datas aprazadas, o fiscal técnico do contrato comunicará o fato imediatamente ao gestor do contrato. </w:t>
      </w:r>
    </w:p>
    <w:p w14:paraId="1C68CF5A" w14:textId="6BC58DBE"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fiscal técnico do contrato comunicará ao gestor do contrato, em tempo hábil, o término do contrato sob sua responsabilidade, com vistas à tempestiva </w:t>
      </w:r>
      <w:r w:rsidRPr="00513FC2">
        <w:rPr>
          <w:rFonts w:eastAsia="Times New Roman"/>
          <w:color w:val="auto"/>
        </w:rPr>
        <w:t xml:space="preserve">renovação </w:t>
      </w:r>
      <w:r w:rsidRPr="00513FC2">
        <w:rPr>
          <w:color w:val="auto"/>
        </w:rPr>
        <w:t>ou à prorrogação contratual</w:t>
      </w:r>
      <w:r w:rsidR="00604F3B" w:rsidRPr="00513FC2">
        <w:rPr>
          <w:color w:val="auto"/>
        </w:rPr>
        <w:t>.</w:t>
      </w:r>
    </w:p>
    <w:p w14:paraId="7BE77A19" w14:textId="4AD87240" w:rsidR="00897D8B" w:rsidRPr="00513FC2" w:rsidRDefault="00897D8B" w:rsidP="008F7361">
      <w:pPr>
        <w:pStyle w:val="Nivel3"/>
        <w:numPr>
          <w:ilvl w:val="2"/>
          <w:numId w:val="9"/>
        </w:numPr>
        <w:spacing w:afterLines="120" w:after="288" w:line="312" w:lineRule="auto"/>
        <w:ind w:left="993" w:firstLine="0"/>
        <w:rPr>
          <w:color w:val="auto"/>
        </w:rPr>
      </w:pPr>
      <w:r w:rsidRPr="00513FC2">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513FC2">
        <w:rPr>
          <w:color w:val="auto"/>
        </w:rPr>
        <w:t>.</w:t>
      </w:r>
    </w:p>
    <w:p w14:paraId="1CB778F7" w14:textId="1FAEE98B" w:rsidR="00897D8B" w:rsidRPr="00513FC2" w:rsidRDefault="00897D8B" w:rsidP="008F7361">
      <w:pPr>
        <w:pStyle w:val="Nivel3"/>
        <w:numPr>
          <w:ilvl w:val="2"/>
          <w:numId w:val="9"/>
        </w:numPr>
        <w:spacing w:afterLines="120" w:after="288" w:line="312" w:lineRule="auto"/>
        <w:ind w:left="851" w:firstLine="0"/>
        <w:rPr>
          <w:color w:val="auto"/>
        </w:rPr>
      </w:pPr>
      <w:r w:rsidRPr="00513FC2">
        <w:rPr>
          <w:color w:val="auto"/>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513FC2" w:rsidRDefault="00897D8B" w:rsidP="00897D8B">
      <w:pPr>
        <w:pStyle w:val="Nivel3"/>
        <w:numPr>
          <w:ilvl w:val="2"/>
          <w:numId w:val="9"/>
        </w:numPr>
        <w:spacing w:afterLines="120" w:after="288" w:line="312" w:lineRule="auto"/>
        <w:ind w:left="170" w:firstLine="709"/>
        <w:rPr>
          <w:color w:val="auto"/>
        </w:rPr>
      </w:pPr>
      <w:r w:rsidRPr="00513FC2">
        <w:rPr>
          <w:color w:val="auto"/>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513FC2">
          <w:rPr>
            <w:rStyle w:val="Hyperlink"/>
            <w:color w:val="auto"/>
            <w:u w:val="none"/>
          </w:rPr>
          <w:t>art. 158 da Lei nº 14.133, de 2021</w:t>
        </w:r>
      </w:hyperlink>
      <w:r w:rsidRPr="00513FC2">
        <w:rPr>
          <w:color w:val="auto"/>
        </w:rPr>
        <w:t>, ou pelo agente ou pelo setor com competência para tal, conforme o caso.</w:t>
      </w:r>
    </w:p>
    <w:p w14:paraId="4CE36DDA" w14:textId="0D450441"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fiscal administrativo do contrato comunicará ao gestor do contrato, em tempo hábil, o término do contrato sob sua responsabilidade, com vistas à tempestiva renovação ou prorrogação contratual.</w:t>
      </w:r>
    </w:p>
    <w:p w14:paraId="4BFA3436" w14:textId="4C8CC558"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gestor do contrato deverá elaborar relató</w:t>
      </w:r>
      <w:r w:rsidRPr="00513FC2">
        <w:rPr>
          <w:rFonts w:eastAsia="Arial"/>
          <w:color w:val="auto"/>
        </w:rPr>
        <w:t>rio final com informações sobre a consecução dos objetivos que tenham justificado a contratação e eventuais condutas a serem adotadas para o aprimoramento das atividades da Administração.</w:t>
      </w:r>
    </w:p>
    <w:p w14:paraId="58B1EAA9" w14:textId="77777777" w:rsidR="00897D8B" w:rsidRPr="00513FC2" w:rsidRDefault="00897D8B" w:rsidP="00897D8B">
      <w:pPr>
        <w:pStyle w:val="Nivel2"/>
        <w:numPr>
          <w:ilvl w:val="1"/>
          <w:numId w:val="9"/>
        </w:numPr>
        <w:spacing w:afterLines="120" w:after="288" w:line="312" w:lineRule="auto"/>
        <w:ind w:left="0" w:firstLine="709"/>
        <w:rPr>
          <w:color w:val="auto"/>
        </w:rPr>
      </w:pPr>
      <w:r w:rsidRPr="00513FC2">
        <w:rPr>
          <w:color w:val="auto"/>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513FC2" w:rsidRDefault="00897D8B" w:rsidP="00897D8B">
      <w:pPr>
        <w:pStyle w:val="Nvel2-Red"/>
        <w:numPr>
          <w:ilvl w:val="1"/>
          <w:numId w:val="9"/>
        </w:numPr>
        <w:spacing w:afterLines="120" w:after="288" w:line="312" w:lineRule="auto"/>
        <w:ind w:left="0" w:firstLine="709"/>
        <w:rPr>
          <w:i w:val="0"/>
          <w:iCs w:val="0"/>
          <w:color w:val="auto"/>
        </w:rPr>
      </w:pPr>
      <w:r w:rsidRPr="00513FC2">
        <w:rPr>
          <w:i w:val="0"/>
          <w:iCs w:val="0"/>
          <w:color w:val="auto"/>
        </w:rPr>
        <w:t>O contratado deverá manter preposto aceito pela Administração no local do serviço para representá-lo na execução do contrato.</w:t>
      </w:r>
    </w:p>
    <w:p w14:paraId="03297360" w14:textId="47510ABC" w:rsidR="00322A6B" w:rsidRPr="00513FC2" w:rsidRDefault="00897D8B" w:rsidP="008B4B7F">
      <w:pPr>
        <w:pStyle w:val="Nvel3-R"/>
        <w:numPr>
          <w:ilvl w:val="2"/>
          <w:numId w:val="9"/>
        </w:numPr>
        <w:spacing w:afterLines="120" w:after="288" w:line="312" w:lineRule="auto"/>
        <w:ind w:left="170" w:firstLine="709"/>
        <w:rPr>
          <w:i w:val="0"/>
          <w:iCs w:val="0"/>
          <w:color w:val="auto"/>
        </w:rPr>
      </w:pPr>
      <w:r w:rsidRPr="00513FC2">
        <w:rPr>
          <w:i w:val="0"/>
          <w:iCs w:val="0"/>
          <w:color w:val="auto"/>
        </w:rPr>
        <w:t>A indicação ou a manutenção do preposto da empresa poderá ser recusada pelo órgão ou entidade, desde que devidamente justificada, devendo a empresa designar outro para o exercício da atividade.</w:t>
      </w:r>
    </w:p>
    <w:p w14:paraId="783321BA" w14:textId="12AB397C" w:rsidR="344332A7" w:rsidRPr="00513FC2" w:rsidRDefault="00E91C18" w:rsidP="00DC1006">
      <w:pPr>
        <w:numPr>
          <w:ilvl w:val="0"/>
          <w:numId w:val="17"/>
        </w:numPr>
        <w:spacing w:after="200" w:line="276" w:lineRule="auto"/>
        <w:jc w:val="both"/>
        <w:rPr>
          <w:rFonts w:ascii="Arial" w:eastAsia="Times New Roman" w:hAnsi="Arial" w:cs="Arial"/>
          <w:b/>
          <w:bCs/>
          <w:sz w:val="20"/>
          <w:szCs w:val="20"/>
        </w:rPr>
      </w:pPr>
      <w:r w:rsidRPr="00513FC2">
        <w:rPr>
          <w:rFonts w:ascii="Arial" w:hAnsi="Arial" w:cs="Arial"/>
          <w:b/>
          <w:bCs/>
          <w:sz w:val="20"/>
          <w:szCs w:val="20"/>
        </w:rPr>
        <w:t>CRITÉRIOS DE MEDIÇÃO E PAGAMENTO</w:t>
      </w:r>
    </w:p>
    <w:p w14:paraId="14D9A3DC" w14:textId="12228AAE" w:rsidR="00AF7B5B" w:rsidRPr="00513FC2" w:rsidRDefault="008F5D66" w:rsidP="00BB0CB2">
      <w:pPr>
        <w:numPr>
          <w:ilvl w:val="1"/>
          <w:numId w:val="17"/>
        </w:numPr>
        <w:spacing w:after="200" w:line="276" w:lineRule="auto"/>
        <w:ind w:left="0" w:firstLine="360"/>
        <w:jc w:val="both"/>
        <w:rPr>
          <w:rFonts w:ascii="Arial" w:eastAsia="Times New Roman" w:hAnsi="Arial" w:cs="Arial"/>
          <w:b/>
          <w:bCs/>
          <w:sz w:val="20"/>
          <w:szCs w:val="20"/>
        </w:rPr>
      </w:pPr>
      <w:r w:rsidRPr="00513FC2">
        <w:rPr>
          <w:rFonts w:ascii="Arial" w:hAnsi="Arial" w:cs="Arial"/>
          <w:sz w:val="20"/>
          <w:szCs w:val="20"/>
        </w:rPr>
        <w:t xml:space="preserve">A </w:t>
      </w:r>
      <w:r w:rsidR="00CB5A88" w:rsidRPr="00513FC2">
        <w:rPr>
          <w:rFonts w:ascii="Arial" w:hAnsi="Arial" w:cs="Arial"/>
          <w:sz w:val="20"/>
          <w:szCs w:val="20"/>
        </w:rPr>
        <w:t xml:space="preserve">avaliação da execução do objeto utilizará o Instrumento de Medição de Resultado (IMR) ou outro instrumento substituto para aferição da qualidade da prestação dos serviços </w:t>
      </w:r>
      <w:r w:rsidR="00382A77" w:rsidRPr="00513FC2">
        <w:rPr>
          <w:rFonts w:ascii="Arial" w:hAnsi="Arial" w:cs="Arial"/>
          <w:sz w:val="20"/>
          <w:szCs w:val="20"/>
        </w:rPr>
        <w:t>definido em conjunto com a contratada</w:t>
      </w:r>
      <w:r w:rsidR="00CB5A88" w:rsidRPr="00513FC2">
        <w:rPr>
          <w:rFonts w:ascii="Arial" w:hAnsi="Arial" w:cs="Arial"/>
          <w:sz w:val="20"/>
          <w:szCs w:val="20"/>
        </w:rPr>
        <w:t>.</w:t>
      </w:r>
    </w:p>
    <w:p w14:paraId="692F852C" w14:textId="77777777" w:rsidR="00DE164E" w:rsidRPr="00513FC2" w:rsidRDefault="00DE164E" w:rsidP="00DE164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sz w:val="20"/>
          <w:szCs w:val="20"/>
        </w:rPr>
      </w:pPr>
    </w:p>
    <w:p w14:paraId="3C96B266" w14:textId="77777777" w:rsidR="00DE164E" w:rsidRPr="00513FC2" w:rsidRDefault="00DE164E" w:rsidP="00DE164E">
      <w:pPr>
        <w:pStyle w:val="PargrafodaLista"/>
        <w:keepNext/>
        <w:keepLines/>
        <w:numPr>
          <w:ilvl w:val="1"/>
          <w:numId w:val="9"/>
        </w:numPr>
        <w:spacing w:before="480" w:line="276" w:lineRule="auto"/>
        <w:contextualSpacing w:val="0"/>
        <w:jc w:val="both"/>
        <w:outlineLvl w:val="0"/>
        <w:rPr>
          <w:rFonts w:ascii="Arial" w:eastAsiaTheme="majorEastAsia" w:hAnsi="Arial" w:cs="Times New Roman"/>
          <w:b/>
          <w:vanish/>
          <w:sz w:val="20"/>
          <w:szCs w:val="20"/>
        </w:rPr>
      </w:pPr>
    </w:p>
    <w:p w14:paraId="30BB2B78" w14:textId="5F14D0AF" w:rsidR="00DE5333" w:rsidRPr="00513FC2" w:rsidRDefault="00DE5333" w:rsidP="00DE164E">
      <w:pPr>
        <w:pStyle w:val="Nivel3"/>
        <w:numPr>
          <w:ilvl w:val="2"/>
          <w:numId w:val="9"/>
        </w:numPr>
        <w:ind w:left="1383"/>
        <w:rPr>
          <w:color w:val="auto"/>
        </w:rPr>
      </w:pPr>
      <w:r w:rsidRPr="00513FC2">
        <w:rPr>
          <w:color w:val="auto"/>
        </w:rPr>
        <w:t>Será indicada a retenção ou glosa no pagamento, proporcional à irregularidade verificada, sem prejuízo das sanções cabíveis, caso se constate que a Contratada:</w:t>
      </w:r>
    </w:p>
    <w:p w14:paraId="177F5557" w14:textId="77777777" w:rsidR="00DE5333" w:rsidRPr="00513FC2" w:rsidRDefault="00DE5333" w:rsidP="00BB0CB2">
      <w:pPr>
        <w:pStyle w:val="Nivel4"/>
        <w:numPr>
          <w:ilvl w:val="3"/>
          <w:numId w:val="9"/>
        </w:numPr>
        <w:spacing w:afterLines="120" w:after="288" w:line="312" w:lineRule="auto"/>
        <w:ind w:left="1701" w:firstLine="1"/>
      </w:pPr>
      <w:r w:rsidRPr="00513FC2">
        <w:t>não produzir os resultados acordados,</w:t>
      </w:r>
    </w:p>
    <w:p w14:paraId="0AF9ADAB" w14:textId="77777777" w:rsidR="00DE5333" w:rsidRPr="00513FC2" w:rsidRDefault="00DE5333" w:rsidP="00BB0CB2">
      <w:pPr>
        <w:pStyle w:val="Nivel4"/>
        <w:numPr>
          <w:ilvl w:val="3"/>
          <w:numId w:val="9"/>
        </w:numPr>
        <w:spacing w:afterLines="120" w:after="288" w:line="312" w:lineRule="auto"/>
        <w:ind w:left="1701" w:firstLine="1"/>
      </w:pPr>
      <w:r w:rsidRPr="00513FC2">
        <w:t>deixar de executar, ou não executar com a qualidade mínima exigida as atividades contratadas; ou</w:t>
      </w:r>
    </w:p>
    <w:p w14:paraId="27884267" w14:textId="77777777" w:rsidR="00DE5333" w:rsidRPr="00513FC2" w:rsidRDefault="00DE5333" w:rsidP="00BB0CB2">
      <w:pPr>
        <w:pStyle w:val="Nivel4"/>
        <w:numPr>
          <w:ilvl w:val="3"/>
          <w:numId w:val="9"/>
        </w:numPr>
        <w:spacing w:afterLines="120" w:after="288" w:line="312" w:lineRule="auto"/>
        <w:ind w:left="1701" w:firstLine="1"/>
      </w:pPr>
      <w:r w:rsidRPr="00513FC2">
        <w:t>deixar de utilizar materiais e recursos humanos exigidos para a execução do serviço, ou utilizá-los com qualidade ou quantidade inferior à demandada.</w:t>
      </w:r>
    </w:p>
    <w:p w14:paraId="3168359F" w14:textId="77777777" w:rsidR="00DE5333" w:rsidRPr="00513FC2" w:rsidRDefault="00DE5333" w:rsidP="00BB0CB2">
      <w:pPr>
        <w:pStyle w:val="Nvel2-Red"/>
        <w:numPr>
          <w:ilvl w:val="1"/>
          <w:numId w:val="9"/>
        </w:numPr>
        <w:spacing w:afterLines="120" w:after="288" w:line="312" w:lineRule="auto"/>
        <w:ind w:left="0" w:firstLine="284"/>
        <w:rPr>
          <w:i w:val="0"/>
          <w:iCs w:val="0"/>
          <w:color w:val="auto"/>
        </w:rPr>
      </w:pPr>
      <w:r w:rsidRPr="00513FC2">
        <w:rPr>
          <w:i w:val="0"/>
          <w:iCs w:val="0"/>
          <w:color w:val="auto"/>
        </w:rPr>
        <w:t>A utilização do IMR não impede a aplicação concomitante de outros mecanismos para a avaliação da prestação dos serviços.</w:t>
      </w:r>
    </w:p>
    <w:p w14:paraId="2C6F2036" w14:textId="77777777" w:rsidR="00DE5333" w:rsidRPr="00513FC2" w:rsidRDefault="00DE5333" w:rsidP="00DE5333">
      <w:pPr>
        <w:pStyle w:val="Nvel1-SemNum"/>
        <w:spacing w:before="120" w:afterLines="120" w:after="288" w:line="312" w:lineRule="auto"/>
        <w:ind w:left="0" w:firstLine="709"/>
        <w:rPr>
          <w:color w:val="auto"/>
          <w:lang w:eastAsia="en-US"/>
        </w:rPr>
      </w:pPr>
      <w:r w:rsidRPr="00513FC2">
        <w:rPr>
          <w:color w:val="auto"/>
          <w:lang w:eastAsia="en-US"/>
        </w:rPr>
        <w:lastRenderedPageBreak/>
        <w:t>Do recebimento</w:t>
      </w:r>
    </w:p>
    <w:p w14:paraId="3E337D87" w14:textId="3C9930CA" w:rsidR="00DE5333" w:rsidRPr="00513FC2" w:rsidRDefault="00DE5333" w:rsidP="003F0B8F">
      <w:pPr>
        <w:pStyle w:val="Nivel2"/>
        <w:numPr>
          <w:ilvl w:val="1"/>
          <w:numId w:val="9"/>
        </w:numPr>
        <w:spacing w:afterLines="120" w:after="288" w:line="312" w:lineRule="auto"/>
        <w:ind w:left="0" w:firstLine="284"/>
        <w:rPr>
          <w:color w:val="auto"/>
          <w:lang w:eastAsia="en-US"/>
        </w:rPr>
      </w:pPr>
      <w:r w:rsidRPr="00513FC2">
        <w:rPr>
          <w:color w:val="auto"/>
          <w:lang w:eastAsia="en-US"/>
        </w:rPr>
        <w:t xml:space="preserve">Os serviços serão recebidos provisoriamente, no prazo de </w:t>
      </w:r>
      <w:r w:rsidR="003F0B8F" w:rsidRPr="00513FC2">
        <w:rPr>
          <w:color w:val="auto"/>
          <w:lang w:eastAsia="en-US"/>
        </w:rPr>
        <w:t>0</w:t>
      </w:r>
      <w:r w:rsidR="009C5989" w:rsidRPr="00513FC2">
        <w:rPr>
          <w:color w:val="auto"/>
          <w:lang w:eastAsia="en-US"/>
        </w:rPr>
        <w:t>3</w:t>
      </w:r>
      <w:r w:rsidR="003F0B8F" w:rsidRPr="00513FC2">
        <w:rPr>
          <w:color w:val="auto"/>
          <w:lang w:eastAsia="en-US"/>
        </w:rPr>
        <w:t xml:space="preserve"> </w:t>
      </w:r>
      <w:r w:rsidRPr="00513FC2">
        <w:rPr>
          <w:color w:val="auto"/>
          <w:lang w:eastAsia="en-US"/>
        </w:rPr>
        <w:t>(</w:t>
      </w:r>
      <w:r w:rsidR="009C5989" w:rsidRPr="00513FC2">
        <w:rPr>
          <w:color w:val="auto"/>
          <w:lang w:eastAsia="en-US"/>
        </w:rPr>
        <w:t>três</w:t>
      </w:r>
      <w:r w:rsidRPr="00513FC2">
        <w:rPr>
          <w:color w:val="auto"/>
          <w:lang w:eastAsia="en-US"/>
        </w:rPr>
        <w:t>) dias, pelos fiscais técnico e administrativo, mediante termos detalhados, quando verificado o cumprimento das exigências de caráter técnico e administrativo. (</w:t>
      </w:r>
      <w:hyperlink r:id="rId13" w:anchor="art140" w:history="1">
        <w:r w:rsidR="00252DB2">
          <w:rPr>
            <w:rStyle w:val="Hyperlink"/>
            <w:color w:val="auto"/>
            <w:u w:val="none"/>
            <w:lang w:eastAsia="en-US"/>
          </w:rPr>
          <w:t>Art. 140, I, a</w:t>
        </w:r>
        <w:r w:rsidRPr="00513FC2">
          <w:rPr>
            <w:rStyle w:val="Hyperlink"/>
            <w:color w:val="auto"/>
            <w:u w:val="none"/>
            <w:lang w:eastAsia="en-US"/>
          </w:rPr>
          <w:t>, da Lei nº 14.133</w:t>
        </w:r>
      </w:hyperlink>
      <w:r w:rsidRPr="00513FC2">
        <w:rPr>
          <w:color w:val="auto"/>
          <w:lang w:eastAsia="en-US"/>
        </w:rPr>
        <w:t>).</w:t>
      </w:r>
    </w:p>
    <w:p w14:paraId="58636993"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fiscal setorial do contrato, quando houver, realizará o recebimento provisório sob o ponto de vista técnico e administrativo.</w:t>
      </w:r>
    </w:p>
    <w:p w14:paraId="2A35C4F3" w14:textId="77777777" w:rsidR="00DE5333" w:rsidRPr="00513FC2" w:rsidRDefault="00DE5333" w:rsidP="001209DE">
      <w:pPr>
        <w:pStyle w:val="Nivel2"/>
        <w:numPr>
          <w:ilvl w:val="1"/>
          <w:numId w:val="9"/>
        </w:numPr>
        <w:spacing w:afterLines="120" w:after="288" w:line="312" w:lineRule="auto"/>
        <w:ind w:left="0" w:firstLine="284"/>
        <w:rPr>
          <w:color w:val="auto"/>
          <w:lang w:eastAsia="en-US"/>
        </w:rPr>
      </w:pPr>
      <w:r w:rsidRPr="00513FC2">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513FC2">
          <w:rPr>
            <w:rStyle w:val="Hyperlink"/>
            <w:color w:val="auto"/>
            <w:u w:val="none"/>
            <w:lang w:eastAsia="en-US"/>
          </w:rPr>
          <w:t>Art. 119 c/c art. 140 da Lei nº 14133, de 2021</w:t>
        </w:r>
      </w:hyperlink>
      <w:r w:rsidRPr="00513FC2">
        <w:rPr>
          <w:color w:val="auto"/>
          <w:lang w:eastAsia="en-US"/>
        </w:rPr>
        <w:t>)</w:t>
      </w:r>
    </w:p>
    <w:p w14:paraId="089BDF87"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 recebimento provisório também ficará sujeito, quando cabível, à conclusão de todos os testes de campo e à entrega dos Manuais e Instruções exigíveis.</w:t>
      </w:r>
    </w:p>
    <w:p w14:paraId="5EDAE228"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513FC2" w:rsidRDefault="00DE5333" w:rsidP="00C244D1">
      <w:pPr>
        <w:pStyle w:val="Nivel2"/>
        <w:numPr>
          <w:ilvl w:val="1"/>
          <w:numId w:val="9"/>
        </w:numPr>
        <w:spacing w:afterLines="120" w:after="288" w:line="312" w:lineRule="auto"/>
        <w:ind w:left="0" w:firstLine="426"/>
        <w:rPr>
          <w:color w:val="auto"/>
          <w:lang w:eastAsia="en-US"/>
        </w:rPr>
      </w:pPr>
      <w:r w:rsidRPr="00513FC2">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513FC2" w:rsidRDefault="00DE5333" w:rsidP="00C244D1">
      <w:pPr>
        <w:pStyle w:val="Nivel2"/>
        <w:numPr>
          <w:ilvl w:val="1"/>
          <w:numId w:val="9"/>
        </w:numPr>
        <w:spacing w:afterLines="120" w:after="288" w:line="312" w:lineRule="auto"/>
        <w:ind w:left="0" w:firstLine="426"/>
        <w:rPr>
          <w:color w:val="auto"/>
          <w:lang w:eastAsia="en-US"/>
        </w:rPr>
      </w:pPr>
      <w:r w:rsidRPr="00513FC2">
        <w:rPr>
          <w:color w:val="auto"/>
          <w:lang w:eastAsia="en-US"/>
        </w:rPr>
        <w:lastRenderedPageBreak/>
        <w:t xml:space="preserve">Os serviços serão recebidos definitivamente no prazo de </w:t>
      </w:r>
      <w:r w:rsidR="00754F08" w:rsidRPr="00513FC2">
        <w:rPr>
          <w:color w:val="auto"/>
          <w:lang w:eastAsia="en-US"/>
        </w:rPr>
        <w:t xml:space="preserve">05 </w:t>
      </w:r>
      <w:r w:rsidRPr="00513FC2">
        <w:rPr>
          <w:color w:val="auto"/>
          <w:lang w:eastAsia="en-US"/>
        </w:rPr>
        <w:t>(</w:t>
      </w:r>
      <w:r w:rsidR="00754F08" w:rsidRPr="00513FC2">
        <w:rPr>
          <w:color w:val="auto"/>
          <w:lang w:eastAsia="en-US"/>
        </w:rPr>
        <w:t>cinco</w:t>
      </w:r>
      <w:r w:rsidRPr="00513FC2">
        <w:rPr>
          <w:color w:val="auto"/>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Emitir Termo Circunstanciado para efeito de recebimento definitivo dos serviços prestados, com base nos relatórios e documentações apresentadas; e</w:t>
      </w:r>
    </w:p>
    <w:p w14:paraId="28323876" w14:textId="77777777"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color w:val="auto"/>
          <w:lang w:eastAsia="en-US"/>
        </w:rPr>
        <w:t>Comunicar a empresa para que emita a Nota Fiscal ou Fatura, com o valor exato dimensionado pela fiscalização.</w:t>
      </w:r>
    </w:p>
    <w:p w14:paraId="29ACDF5C" w14:textId="673E5B26" w:rsidR="00DE5333" w:rsidRPr="00513FC2" w:rsidRDefault="00DE5333" w:rsidP="00DE5333">
      <w:pPr>
        <w:pStyle w:val="Nivel3"/>
        <w:numPr>
          <w:ilvl w:val="2"/>
          <w:numId w:val="9"/>
        </w:numPr>
        <w:spacing w:afterLines="120" w:after="288" w:line="312" w:lineRule="auto"/>
        <w:ind w:left="170" w:firstLine="709"/>
        <w:rPr>
          <w:bCs/>
          <w:color w:val="auto"/>
          <w:lang w:eastAsia="en-US"/>
        </w:rPr>
      </w:pPr>
      <w:r w:rsidRPr="00513FC2">
        <w:rPr>
          <w:bCs/>
          <w:color w:val="auto"/>
          <w:lang w:eastAsia="en-US"/>
        </w:rPr>
        <w:t xml:space="preserve">Enviar a documentação pertinente ao setor de </w:t>
      </w:r>
      <w:r w:rsidR="003119F0" w:rsidRPr="00513FC2">
        <w:rPr>
          <w:bCs/>
          <w:color w:val="auto"/>
          <w:lang w:eastAsia="en-US"/>
        </w:rPr>
        <w:t>contabilidade</w:t>
      </w:r>
      <w:r w:rsidRPr="00513FC2">
        <w:rPr>
          <w:bCs/>
          <w:color w:val="auto"/>
          <w:lang w:eastAsia="en-US"/>
        </w:rPr>
        <w:t xml:space="preserve"> para a formalização dos procedimentos de liquidação e pagamento, no valor dimensionado pela fiscalização e gestão.</w:t>
      </w:r>
    </w:p>
    <w:p w14:paraId="680193C0"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 xml:space="preserve">No caso de controvérsia sobre a execução do objeto, quanto à dimensão, qualidade e quantidade, deverá ser observado o teor do </w:t>
      </w:r>
      <w:hyperlink r:id="rId15" w:anchor="art143" w:history="1">
        <w:r w:rsidRPr="00513FC2">
          <w:rPr>
            <w:rStyle w:val="Hyperlink"/>
            <w:color w:val="auto"/>
            <w:u w:val="none"/>
            <w:lang w:eastAsia="en-US"/>
          </w:rPr>
          <w:t>art. 143 da Lei nº 14.133, de 2021</w:t>
        </w:r>
      </w:hyperlink>
      <w:r w:rsidRPr="00513FC2">
        <w:rPr>
          <w:color w:val="auto"/>
          <w:lang w:eastAsia="en-US"/>
        </w:rPr>
        <w:t>, comunicando-se à empresa para emissão de Nota Fiscal no que pertine à parcela incontroversa da execução do objeto, para efeito de liquidação e pagamento.</w:t>
      </w:r>
    </w:p>
    <w:p w14:paraId="1F8E29F5"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Nenhum prazo de recebimento ocorrerá enquanto pendente a solução, pelo contratado, de inconsistências verificadas na execução do objeto ou no instrumento de cobrança.</w:t>
      </w:r>
    </w:p>
    <w:p w14:paraId="2BEC637D"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Liquidação</w:t>
      </w:r>
    </w:p>
    <w:p w14:paraId="00423442" w14:textId="5E430F0D"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Recebida a Nota Fiscal ou documento de cobrança equivalente, correrá o prazo de dez dias úteis para fins de liquidação, na forma desta seção, prorrogáveis por igual período</w:t>
      </w:r>
      <w:r w:rsidR="00D74598" w:rsidRPr="00513FC2">
        <w:rPr>
          <w:strike/>
          <w:color w:val="auto"/>
        </w:rPr>
        <w:t>.</w:t>
      </w:r>
    </w:p>
    <w:p w14:paraId="06DB8725" w14:textId="77777777" w:rsidR="00DE5333" w:rsidRPr="00513FC2" w:rsidRDefault="00DE5333" w:rsidP="00DE5333">
      <w:pPr>
        <w:pStyle w:val="Nivel3"/>
        <w:numPr>
          <w:ilvl w:val="2"/>
          <w:numId w:val="9"/>
        </w:numPr>
        <w:spacing w:afterLines="120" w:after="288" w:line="312" w:lineRule="auto"/>
        <w:ind w:left="170" w:firstLine="709"/>
        <w:rPr>
          <w:color w:val="auto"/>
        </w:rPr>
      </w:pPr>
      <w:r w:rsidRPr="00513FC2">
        <w:rPr>
          <w:color w:val="auto"/>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513FC2">
          <w:rPr>
            <w:rStyle w:val="Hyperlink"/>
            <w:color w:val="auto"/>
            <w:u w:val="none"/>
          </w:rPr>
          <w:t>inciso II do art. 75 da Lei nº 14.133, de 2021</w:t>
        </w:r>
      </w:hyperlink>
    </w:p>
    <w:p w14:paraId="2EDC4EA4"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Para fins de liquidação, o setor competente deve verificar se a Nota Fiscal ou Fatura apresentada expressa os elementos necessários e essenciais do documento, tais como:</w:t>
      </w:r>
    </w:p>
    <w:p w14:paraId="54C1B445"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lastRenderedPageBreak/>
        <w:t xml:space="preserve"> o prazo de validade;</w:t>
      </w:r>
    </w:p>
    <w:p w14:paraId="262DAFB2"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a data da emissão;</w:t>
      </w:r>
    </w:p>
    <w:p w14:paraId="41B9FBC2"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os dados do contrato e do órgão contratante;</w:t>
      </w:r>
    </w:p>
    <w:p w14:paraId="16FC0EE1"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 período respectivo de execução do contrato;</w:t>
      </w:r>
    </w:p>
    <w:p w14:paraId="5ED39990"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o valor a pagar; e</w:t>
      </w:r>
    </w:p>
    <w:p w14:paraId="76B7229E" w14:textId="77777777" w:rsidR="00DE5333" w:rsidRPr="00513FC2" w:rsidRDefault="00DE5333" w:rsidP="00DE5333">
      <w:pPr>
        <w:pStyle w:val="Nivel3"/>
        <w:numPr>
          <w:ilvl w:val="0"/>
          <w:numId w:val="18"/>
        </w:numPr>
        <w:spacing w:afterLines="120" w:after="288" w:line="312" w:lineRule="auto"/>
        <w:ind w:left="851" w:firstLine="357"/>
        <w:rPr>
          <w:color w:val="auto"/>
        </w:rPr>
      </w:pPr>
      <w:r w:rsidRPr="00513FC2">
        <w:rPr>
          <w:color w:val="auto"/>
        </w:rPr>
        <w:t xml:space="preserve"> eventual destaque do valor de retenções tributárias cabíveis.</w:t>
      </w:r>
    </w:p>
    <w:p w14:paraId="6AB80A85"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513FC2">
          <w:rPr>
            <w:rStyle w:val="Hyperlink"/>
            <w:color w:val="auto"/>
            <w:u w:val="none"/>
          </w:rPr>
          <w:t>art. 68 da Lei nº 14.133/2021</w:t>
        </w:r>
      </w:hyperlink>
      <w:r w:rsidRPr="00513FC2">
        <w:rPr>
          <w:color w:val="auto"/>
        </w:rPr>
        <w:t>.</w:t>
      </w:r>
    </w:p>
    <w:p w14:paraId="78951843"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Persistindo a irregularidade, o contratante deverá adotar as medidas necessárias à rescisão contratual nos autos do processo administrativo correspondente, assegurada ao contratado a ampla defesa.</w:t>
      </w:r>
    </w:p>
    <w:p w14:paraId="08371C04"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Prazo de pagamento</w:t>
      </w:r>
    </w:p>
    <w:p w14:paraId="6FA2AF9B" w14:textId="586FFE61"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t xml:space="preserve">O pagamento será efetuado no prazo máximo de até </w:t>
      </w:r>
      <w:r w:rsidR="00532707" w:rsidRPr="00513FC2">
        <w:rPr>
          <w:color w:val="auto"/>
        </w:rPr>
        <w:t>vinte</w:t>
      </w:r>
      <w:r w:rsidRPr="00513FC2">
        <w:rPr>
          <w:color w:val="auto"/>
        </w:rPr>
        <w:t xml:space="preserve"> dias úteis, contados da finalização da liquidação da despesa, conforme seção anterior</w:t>
      </w:r>
      <w:r w:rsidR="00D74598" w:rsidRPr="00513FC2">
        <w:rPr>
          <w:strike/>
          <w:color w:val="auto"/>
        </w:rPr>
        <w:t>.</w:t>
      </w:r>
    </w:p>
    <w:p w14:paraId="4F37AFEA" w14:textId="4D39E9B4"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ED25E6" w:rsidRPr="00513FC2">
        <w:rPr>
          <w:color w:val="auto"/>
        </w:rPr>
        <w:t>IPCA</w:t>
      </w:r>
      <w:r w:rsidRPr="00513FC2">
        <w:rPr>
          <w:color w:val="auto"/>
        </w:rPr>
        <w:t xml:space="preserve"> de correção monetária.</w:t>
      </w:r>
    </w:p>
    <w:p w14:paraId="26647F59"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Forma de pagamento</w:t>
      </w:r>
    </w:p>
    <w:p w14:paraId="78763CEA" w14:textId="77777777" w:rsidR="00DE5333" w:rsidRPr="00513FC2" w:rsidRDefault="00DE5333" w:rsidP="00DE5333">
      <w:pPr>
        <w:pStyle w:val="Nvel2-Red"/>
        <w:numPr>
          <w:ilvl w:val="1"/>
          <w:numId w:val="9"/>
        </w:numPr>
        <w:spacing w:afterLines="120" w:after="288" w:line="312" w:lineRule="auto"/>
        <w:ind w:left="0" w:firstLine="709"/>
        <w:rPr>
          <w:i w:val="0"/>
          <w:iCs w:val="0"/>
          <w:color w:val="auto"/>
        </w:rPr>
      </w:pPr>
      <w:r w:rsidRPr="00513FC2">
        <w:rPr>
          <w:i w:val="0"/>
          <w:iCs w:val="0"/>
          <w:color w:val="auto"/>
        </w:rPr>
        <w:t>O pagamento será realizado através de ordem bancária, para crédito em banco, agência e conta corrente indicados pelo contratado.</w:t>
      </w:r>
    </w:p>
    <w:p w14:paraId="6B0BD710" w14:textId="77777777" w:rsidR="00DE5333" w:rsidRPr="00513FC2" w:rsidRDefault="00DE5333" w:rsidP="00DE5333">
      <w:pPr>
        <w:pStyle w:val="Nvel2-Red"/>
        <w:numPr>
          <w:ilvl w:val="1"/>
          <w:numId w:val="9"/>
        </w:numPr>
        <w:spacing w:afterLines="120" w:after="288" w:line="312" w:lineRule="auto"/>
        <w:ind w:left="0" w:firstLine="709"/>
        <w:rPr>
          <w:i w:val="0"/>
          <w:iCs w:val="0"/>
          <w:color w:val="auto"/>
        </w:rPr>
      </w:pPr>
      <w:r w:rsidRPr="00513FC2">
        <w:rPr>
          <w:i w:val="0"/>
          <w:iCs w:val="0"/>
          <w:color w:val="auto"/>
        </w:rPr>
        <w:t>Será considerada data do pagamento o dia em que constar como emitida a ordem bancária para pagamento.</w:t>
      </w:r>
    </w:p>
    <w:p w14:paraId="40467CF8" w14:textId="77777777" w:rsidR="00DE5333" w:rsidRPr="00513FC2" w:rsidRDefault="00DE5333" w:rsidP="00DE5333">
      <w:pPr>
        <w:pStyle w:val="Nivel2"/>
        <w:numPr>
          <w:ilvl w:val="1"/>
          <w:numId w:val="9"/>
        </w:numPr>
        <w:spacing w:afterLines="120" w:after="288" w:line="312" w:lineRule="auto"/>
        <w:ind w:left="0" w:firstLine="709"/>
        <w:rPr>
          <w:color w:val="auto"/>
          <w:lang w:eastAsia="en-US"/>
        </w:rPr>
      </w:pPr>
      <w:r w:rsidRPr="00513FC2">
        <w:rPr>
          <w:color w:val="auto"/>
          <w:lang w:eastAsia="en-US"/>
        </w:rPr>
        <w:t>Quando do pagamento, será efetuada a retenção tributária prevista na legislação aplicável.</w:t>
      </w:r>
    </w:p>
    <w:p w14:paraId="6B350F2E" w14:textId="77777777" w:rsidR="00DE5333" w:rsidRPr="00513FC2" w:rsidRDefault="00DE5333" w:rsidP="00DE5333">
      <w:pPr>
        <w:pStyle w:val="Nivel3"/>
        <w:numPr>
          <w:ilvl w:val="2"/>
          <w:numId w:val="9"/>
        </w:numPr>
        <w:spacing w:afterLines="120" w:after="288" w:line="312" w:lineRule="auto"/>
        <w:ind w:left="170" w:firstLine="709"/>
        <w:rPr>
          <w:color w:val="auto"/>
          <w:lang w:eastAsia="en-US"/>
        </w:rPr>
      </w:pPr>
      <w:r w:rsidRPr="00513FC2">
        <w:rPr>
          <w:color w:val="auto"/>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513FC2" w:rsidRDefault="00DE5333" w:rsidP="00DE5333">
      <w:pPr>
        <w:pStyle w:val="Nivel2"/>
        <w:numPr>
          <w:ilvl w:val="1"/>
          <w:numId w:val="9"/>
        </w:numPr>
        <w:spacing w:afterLines="120" w:after="288" w:line="312" w:lineRule="auto"/>
        <w:ind w:left="0" w:firstLine="709"/>
        <w:rPr>
          <w:color w:val="auto"/>
        </w:rPr>
      </w:pPr>
      <w:r w:rsidRPr="00513FC2">
        <w:rPr>
          <w:color w:val="auto"/>
          <w:lang w:eastAsia="en-US"/>
        </w:rPr>
        <w:t xml:space="preserve">O contratado regularmente optante pelo Simples Nacional, nos termos da </w:t>
      </w:r>
      <w:hyperlink r:id="rId18" w:history="1">
        <w:r w:rsidRPr="00513FC2">
          <w:rPr>
            <w:rStyle w:val="Hyperlink"/>
            <w:color w:val="auto"/>
            <w:u w:val="none"/>
            <w:lang w:eastAsia="en-US"/>
          </w:rPr>
          <w:t>Lei Complementar nº 123, de 2006</w:t>
        </w:r>
      </w:hyperlink>
      <w:r w:rsidRPr="00513FC2">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B55B32" w14:textId="77777777" w:rsidR="00DE5333" w:rsidRPr="00513FC2" w:rsidRDefault="00DE5333" w:rsidP="00DE5333">
      <w:pPr>
        <w:pStyle w:val="Nvel1-SemNum"/>
        <w:spacing w:before="120" w:afterLines="120" w:after="288" w:line="312" w:lineRule="auto"/>
        <w:ind w:left="0" w:firstLine="709"/>
        <w:rPr>
          <w:color w:val="auto"/>
        </w:rPr>
      </w:pPr>
      <w:r w:rsidRPr="00513FC2">
        <w:rPr>
          <w:color w:val="auto"/>
        </w:rPr>
        <w:t>Cessão de crédito</w:t>
      </w:r>
    </w:p>
    <w:p w14:paraId="35786282" w14:textId="77777777" w:rsidR="00DE5333" w:rsidRPr="00513FC2" w:rsidRDefault="00DE5333" w:rsidP="001477AA">
      <w:pPr>
        <w:pStyle w:val="Nivel2"/>
        <w:numPr>
          <w:ilvl w:val="1"/>
          <w:numId w:val="9"/>
        </w:numPr>
        <w:spacing w:afterLines="120" w:after="288" w:line="312" w:lineRule="auto"/>
        <w:ind w:left="0" w:firstLine="709"/>
        <w:rPr>
          <w:color w:val="auto"/>
        </w:rPr>
      </w:pPr>
      <w:r w:rsidRPr="00513FC2">
        <w:rPr>
          <w:color w:val="auto"/>
        </w:rPr>
        <w:t xml:space="preserve">É admitida a cessão fiduciária de direitos creditícios com instituição financeira, nos termos e de acordo com os procedimentos previstos na </w:t>
      </w:r>
      <w:hyperlink r:id="rId19" w:history="1">
        <w:r w:rsidRPr="00513FC2">
          <w:rPr>
            <w:rStyle w:val="Hyperlink"/>
            <w:color w:val="auto"/>
            <w:u w:val="none"/>
          </w:rPr>
          <w:t>Instrução Normativa SEGES/ME nº 53, de 8 de julho de 2020</w:t>
        </w:r>
      </w:hyperlink>
      <w:r w:rsidRPr="00513FC2">
        <w:rPr>
          <w:color w:val="auto"/>
        </w:rPr>
        <w:t>, conforme as regras deste presente tópico.</w:t>
      </w:r>
    </w:p>
    <w:p w14:paraId="6667EACB" w14:textId="77777777" w:rsidR="00DE5333" w:rsidRPr="00513FC2" w:rsidRDefault="00DE5333" w:rsidP="001477AA">
      <w:pPr>
        <w:pStyle w:val="Nvel3-R"/>
        <w:numPr>
          <w:ilvl w:val="2"/>
          <w:numId w:val="9"/>
        </w:numPr>
        <w:spacing w:afterLines="120" w:after="288" w:line="312" w:lineRule="auto"/>
        <w:ind w:left="170" w:firstLine="709"/>
        <w:rPr>
          <w:i w:val="0"/>
          <w:iCs w:val="0"/>
          <w:color w:val="auto"/>
        </w:rPr>
      </w:pPr>
      <w:r w:rsidRPr="00513FC2">
        <w:rPr>
          <w:i w:val="0"/>
          <w:iCs w:val="0"/>
          <w:color w:val="auto"/>
        </w:rPr>
        <w:t>As cessões de crédito não fiduciárias dependerão de prévia aprovação do contratante.</w:t>
      </w:r>
    </w:p>
    <w:p w14:paraId="3BA75838"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t>A eficácia da cessão de crédito, de qualquer natureza, em relação à Administração, está condicionada à celebração de termo aditivo ao contrato administrativo.</w:t>
      </w:r>
    </w:p>
    <w:p w14:paraId="1DF03A75"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513FC2">
          <w:rPr>
            <w:rStyle w:val="Hyperlink"/>
            <w:color w:val="auto"/>
            <w:u w:val="none"/>
            <w:lang w:eastAsia="en-US"/>
          </w:rPr>
          <w:t>art. 12 da Lei nº 8.429, de 1992</w:t>
        </w:r>
      </w:hyperlink>
      <w:r w:rsidRPr="00513FC2">
        <w:rPr>
          <w:color w:val="auto"/>
          <w:lang w:eastAsia="en-US"/>
        </w:rPr>
        <w:t xml:space="preserve">, tudo nos termos do </w:t>
      </w:r>
      <w:hyperlink r:id="rId21" w:history="1">
        <w:r w:rsidRPr="00513FC2">
          <w:rPr>
            <w:rStyle w:val="Hyperlink"/>
            <w:color w:val="auto"/>
            <w:u w:val="none"/>
            <w:lang w:eastAsia="en-US"/>
          </w:rPr>
          <w:t>Parecer JL-01, de 18 de maio de 2020.</w:t>
        </w:r>
        <w:bookmarkStart w:id="0" w:name="_Hlk114498447"/>
        <w:bookmarkEnd w:id="0"/>
      </w:hyperlink>
    </w:p>
    <w:p w14:paraId="23FF5360" w14:textId="77777777" w:rsidR="00DE5333" w:rsidRPr="00513FC2" w:rsidRDefault="00DE5333" w:rsidP="001477AA">
      <w:pPr>
        <w:pStyle w:val="Nivel2"/>
        <w:numPr>
          <w:ilvl w:val="1"/>
          <w:numId w:val="9"/>
        </w:numPr>
        <w:spacing w:afterLines="120" w:after="288" w:line="312" w:lineRule="auto"/>
        <w:ind w:left="0" w:firstLine="709"/>
        <w:rPr>
          <w:color w:val="auto"/>
          <w:lang w:eastAsia="en-US"/>
        </w:rPr>
      </w:pPr>
      <w:r w:rsidRPr="00513FC2">
        <w:rPr>
          <w:color w:val="auto"/>
          <w:lang w:eastAsia="en-US"/>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w:t>
      </w:r>
      <w:r w:rsidRPr="00513FC2">
        <w:rPr>
          <w:color w:val="auto"/>
          <w:lang w:eastAsia="en-US"/>
        </w:rPr>
        <w:lastRenderedPageBreak/>
        <w:t>em conta vinculada ou de pagamento pela efetiva comprovação do fato gerador, quando for o caso, e o desconto de multas, glosas e prejuízos causados à Administração</w:t>
      </w:r>
      <w:bookmarkStart w:id="1" w:name="_Hlk114498479"/>
      <w:bookmarkEnd w:id="1"/>
      <w:r w:rsidRPr="00513FC2">
        <w:rPr>
          <w:color w:val="auto"/>
          <w:lang w:eastAsia="en-US"/>
        </w:rPr>
        <w:t>.</w:t>
      </w:r>
    </w:p>
    <w:p w14:paraId="7CB3EAAB" w14:textId="0E4E965E" w:rsidR="00AC35AC" w:rsidRPr="00513FC2" w:rsidRDefault="00DE5333" w:rsidP="001477AA">
      <w:pPr>
        <w:pStyle w:val="Nivel2"/>
        <w:numPr>
          <w:ilvl w:val="1"/>
          <w:numId w:val="9"/>
        </w:numPr>
        <w:pBdr>
          <w:top w:val="nil"/>
          <w:left w:val="nil"/>
          <w:bottom w:val="nil"/>
          <w:right w:val="nil"/>
          <w:between w:val="nil"/>
        </w:pBdr>
        <w:spacing w:afterLines="120" w:after="288"/>
        <w:ind w:left="0" w:firstLine="709"/>
        <w:rPr>
          <w:rFonts w:eastAsia="Times New Roman"/>
          <w:color w:val="auto"/>
        </w:rPr>
      </w:pPr>
      <w:r w:rsidRPr="00513FC2">
        <w:rPr>
          <w:color w:val="auto"/>
          <w:lang w:eastAsia="en-US"/>
        </w:rPr>
        <w:t>A cessão de crédito não afetará a execução do objeto contratado, que continuará sob a integral responsabilidade do contratado.</w:t>
      </w:r>
    </w:p>
    <w:p w14:paraId="0BC97CD9" w14:textId="46791555" w:rsidR="00F77A01" w:rsidRPr="00513FC2" w:rsidRDefault="00F77A01" w:rsidP="00F77A01">
      <w:pPr>
        <w:pStyle w:val="Nivel1"/>
        <w:ind w:left="426"/>
        <w:rPr>
          <w:color w:val="auto"/>
        </w:rPr>
      </w:pPr>
      <w:r w:rsidRPr="00513FC2">
        <w:rPr>
          <w:color w:val="auto"/>
        </w:rPr>
        <w:t>FORMA E CRITÉRIOS DE SELEÇÃO DO FORNECEDOR</w:t>
      </w:r>
    </w:p>
    <w:p w14:paraId="09C08CCB" w14:textId="2A3ACF63"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w:t>
      </w:r>
      <w:r w:rsidRPr="00513FC2">
        <w:rPr>
          <w:b/>
          <w:bCs/>
          <w:color w:val="auto"/>
        </w:rPr>
        <w:t xml:space="preserve"> </w:t>
      </w:r>
      <w:r w:rsidRPr="00513FC2">
        <w:rPr>
          <w:rFonts w:eastAsia="Arial"/>
          <w:color w:val="auto"/>
        </w:rPr>
        <w:t>fornecedor</w:t>
      </w:r>
      <w:r w:rsidRPr="00513FC2">
        <w:rPr>
          <w:color w:val="auto"/>
        </w:rPr>
        <w:t xml:space="preserve"> será selecionado por meio da realização de procedimento de LICITAÇÃO, na modalidade PREGÃO, sob a forma ELETRÔNICA</w:t>
      </w:r>
      <w:r w:rsidRPr="00513FC2">
        <w:rPr>
          <w:rFonts w:eastAsia="Arial"/>
          <w:color w:val="auto"/>
        </w:rPr>
        <w:t>, com adoção do critério de julgamento pelo MENOR PREÇO</w:t>
      </w:r>
      <w:r w:rsidR="00D74598" w:rsidRPr="00513FC2">
        <w:rPr>
          <w:rFonts w:eastAsia="Arial"/>
          <w:color w:val="auto"/>
        </w:rPr>
        <w:t>.</w:t>
      </w:r>
    </w:p>
    <w:p w14:paraId="3AE60BDB"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Exigências de habilitação</w:t>
      </w:r>
    </w:p>
    <w:p w14:paraId="2661AEAC"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Para fins de habilitação, deverá o licitante comprovar os seguintes requisitos:</w:t>
      </w:r>
    </w:p>
    <w:p w14:paraId="0C76B55C"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Habilitação jurídica</w:t>
      </w:r>
    </w:p>
    <w:p w14:paraId="411838BA" w14:textId="77777777" w:rsidR="00A94ED5" w:rsidRPr="00513FC2" w:rsidRDefault="00A94ED5" w:rsidP="00A94ED5">
      <w:pPr>
        <w:pStyle w:val="Nivel2"/>
        <w:numPr>
          <w:ilvl w:val="1"/>
          <w:numId w:val="9"/>
        </w:numPr>
        <w:spacing w:afterLines="120" w:after="288" w:line="312" w:lineRule="auto"/>
        <w:ind w:left="0" w:firstLine="709"/>
        <w:rPr>
          <w:color w:val="auto"/>
        </w:rPr>
      </w:pPr>
      <w:bookmarkStart w:id="2" w:name="_Ref115800561"/>
      <w:r w:rsidRPr="00513FC2">
        <w:rPr>
          <w:b/>
          <w:bCs/>
          <w:color w:val="auto"/>
        </w:rPr>
        <w:t>Pessoa física:</w:t>
      </w:r>
      <w:r w:rsidRPr="00513FC2">
        <w:rPr>
          <w:color w:val="auto"/>
        </w:rPr>
        <w:t xml:space="preserve"> cédula de identidade (RG) ou documento equivalente que, por força de lei, tenha validade para fins de identificação em todo o território nacional;</w:t>
      </w:r>
      <w:bookmarkEnd w:id="2"/>
    </w:p>
    <w:p w14:paraId="59451B2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Empresário individual</w:t>
      </w:r>
      <w:r w:rsidRPr="00513FC2">
        <w:rPr>
          <w:color w:val="auto"/>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22" w:history="1">
        <w:r w:rsidRPr="00513FC2">
          <w:rPr>
            <w:rStyle w:val="Hyperlink"/>
            <w:color w:val="auto"/>
            <w:u w:val="none"/>
          </w:rPr>
          <w:t>https://www.gov.br/empresas-e-negocios/pt-br/empreendedor</w:t>
        </w:r>
      </w:hyperlink>
      <w:r w:rsidRPr="00513FC2">
        <w:rPr>
          <w:color w:val="auto"/>
        </w:rPr>
        <w:t>;</w:t>
      </w:r>
    </w:p>
    <w:p w14:paraId="4B2F6A01"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empresária, sociedade limitada unipessoal – SLU ou sociedade identificada como empresa individual de responsabilidade limitada - EIRELI</w:t>
      </w:r>
      <w:r w:rsidRPr="00513FC2">
        <w:rPr>
          <w:color w:val="auto"/>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empresária estrangeira</w:t>
      </w:r>
      <w:r w:rsidRPr="00513FC2">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513FC2">
          <w:rPr>
            <w:rStyle w:val="Hyperlink"/>
            <w:color w:val="auto"/>
            <w:u w:val="none"/>
          </w:rPr>
          <w:t>Instrução Normativa DREI/ME n.º 77, de 18 de março de 2020</w:t>
        </w:r>
      </w:hyperlink>
      <w:r w:rsidRPr="00513FC2">
        <w:rPr>
          <w:color w:val="auto"/>
        </w:rPr>
        <w:t>.</w:t>
      </w:r>
    </w:p>
    <w:p w14:paraId="7C6C5502"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simples</w:t>
      </w:r>
      <w:r w:rsidRPr="00513FC2">
        <w:rPr>
          <w:color w:val="auto"/>
        </w:rPr>
        <w:t>: inscrição do ato constitutivo no Registro Civil de Pessoas Jurídicas do local de sua sede, acompanhada de documento comprobatório de seus administradores;</w:t>
      </w:r>
    </w:p>
    <w:p w14:paraId="6306228A"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Filial, sucursal ou agência de sociedade simples ou empresária</w:t>
      </w:r>
      <w:r w:rsidRPr="00513FC2">
        <w:rPr>
          <w:color w:val="auto"/>
        </w:rPr>
        <w:t xml:space="preserve">: inscrição do ato constitutivo da filial, sucursal ou agência da sociedade simples ou empresária, respectivamente, no Registro Civil das Pessoas Jurídicas ou no Registro Público de Empresas </w:t>
      </w:r>
      <w:bookmarkStart w:id="3" w:name="_Int_ySfCXwr4"/>
      <w:r w:rsidRPr="00513FC2">
        <w:rPr>
          <w:color w:val="auto"/>
        </w:rPr>
        <w:t>Mercantis onde</w:t>
      </w:r>
      <w:bookmarkEnd w:id="3"/>
      <w:r w:rsidRPr="00513FC2">
        <w:rPr>
          <w:color w:val="auto"/>
        </w:rPr>
        <w:t xml:space="preserve"> opera, com averbação no Registro onde tem sede a matriz</w:t>
      </w:r>
    </w:p>
    <w:p w14:paraId="7D67E8DD"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Sociedade cooperativa</w:t>
      </w:r>
      <w:r w:rsidRPr="00513FC2">
        <w:rPr>
          <w:color w:val="auto"/>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65D533C"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lastRenderedPageBreak/>
        <w:t>Agricultor familiar</w:t>
      </w:r>
      <w:r w:rsidRPr="00513FC2">
        <w:rPr>
          <w:color w:val="auto"/>
        </w:rPr>
        <w:t>: Declaração de Aptidão ao Pronaf – DAP ou DAP-P válida, ou, ainda, outros documentos definidos pela Secretaria Especial de Agricultura Familiar e do Desenvolvimento Agrário, nos termos do art. 4º, §2º do Decreto nº 10.880, de 2 de dezembro de 2021.</w:t>
      </w:r>
    </w:p>
    <w:p w14:paraId="154EDC79"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b/>
          <w:bCs/>
          <w:color w:val="auto"/>
        </w:rPr>
        <w:t>Produtor Rural</w:t>
      </w:r>
      <w:r w:rsidRPr="00513FC2">
        <w:rPr>
          <w:color w:val="auto"/>
        </w:rPr>
        <w:t xml:space="preserve">: matrícula no Cadastro Específico do INSS – CEI, que comprove a qualificação como produtor rural pessoa física, nos termos da </w:t>
      </w:r>
      <w:hyperlink r:id="rId24" w:history="1">
        <w:r w:rsidRPr="00513FC2">
          <w:rPr>
            <w:rStyle w:val="Hyperlink"/>
            <w:color w:val="auto"/>
            <w:u w:val="none"/>
          </w:rPr>
          <w:t>Instrução Normativa RFB n. 971, de 13 de novembro de 2009</w:t>
        </w:r>
      </w:hyperlink>
      <w:r w:rsidRPr="00513FC2">
        <w:rPr>
          <w:color w:val="auto"/>
        </w:rPr>
        <w:t xml:space="preserve"> (arts. 17 a 19 e 165).</w:t>
      </w:r>
    </w:p>
    <w:p w14:paraId="200933B7"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Os documentos apresentados deverão estar acompanhados de todas as alterações ou da consolidação respectiva.</w:t>
      </w:r>
    </w:p>
    <w:p w14:paraId="1C11B053"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Habilitação fiscal, social e trabalhista</w:t>
      </w:r>
    </w:p>
    <w:p w14:paraId="6DA62682"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Prova de inscrição no Cadastro Nacional de Pessoas Jurídicas ou no Cadastro de Pessoas Físicas, conforme o caso;</w:t>
      </w:r>
    </w:p>
    <w:p w14:paraId="1A203893"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5" w:history="1">
        <w:r w:rsidRPr="00513FC2">
          <w:rPr>
            <w:rStyle w:val="Hyperlink"/>
            <w:color w:val="auto"/>
            <w:u w:val="none"/>
          </w:rPr>
          <w:t>Portaria Conjunta nº 1.751, de 02 de outubro de 2014</w:t>
        </w:r>
      </w:hyperlink>
      <w:r w:rsidRPr="00513FC2">
        <w:rPr>
          <w:color w:val="auto"/>
        </w:rPr>
        <w:t>, do Secretário da Receita Federal do Brasil e da Procuradora-Geral da Fazenda Nacional.</w:t>
      </w:r>
    </w:p>
    <w:p w14:paraId="61270FE1"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Prova de regularidade com o Fundo de Garantia do Tempo de Serviço (FGTS);</w:t>
      </w:r>
    </w:p>
    <w:p w14:paraId="3299189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6" w:history="1">
        <w:r w:rsidRPr="00513FC2">
          <w:rPr>
            <w:rStyle w:val="Hyperlink"/>
            <w:color w:val="auto"/>
            <w:u w:val="none"/>
          </w:rPr>
          <w:t>Decreto-Lei nº 5.452, de 1º de maio de 1943;</w:t>
        </w:r>
      </w:hyperlink>
    </w:p>
    <w:p w14:paraId="3650F0E9" w14:textId="5359B925"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t>Prova de inscrição no cadastro de contribuintes Estadual/Distrital</w:t>
      </w:r>
      <w:r w:rsidRPr="00513FC2">
        <w:rPr>
          <w:color w:val="auto"/>
        </w:rPr>
        <w:t xml:space="preserve"> ou </w:t>
      </w:r>
      <w:r w:rsidRPr="00513FC2">
        <w:rPr>
          <w:rFonts w:eastAsia="Arial"/>
          <w:color w:val="auto"/>
        </w:rPr>
        <w:t xml:space="preserve">Municipal/Distrital relativo ao domicílio ou sede do fornecedor, pertinente ao seu ramo de atividade e compatível com o objeto contratual; </w:t>
      </w:r>
    </w:p>
    <w:p w14:paraId="5A36D9E2" w14:textId="192359D0"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t>Prova de regularidade com a Fazenda Estadual/Distrital</w:t>
      </w:r>
      <w:r w:rsidRPr="00513FC2">
        <w:rPr>
          <w:color w:val="auto"/>
        </w:rPr>
        <w:t xml:space="preserve"> ou </w:t>
      </w:r>
      <w:r w:rsidRPr="00513FC2">
        <w:rPr>
          <w:rFonts w:eastAsia="Arial"/>
          <w:color w:val="auto"/>
        </w:rPr>
        <w:t>Municipal/Distrital do domicílio ou sede do fornecedor, relativa à atividade em cujo exercício contrata ou concorre;</w:t>
      </w:r>
    </w:p>
    <w:p w14:paraId="055198A2" w14:textId="63FAF103" w:rsidR="00A94ED5" w:rsidRPr="00513FC2" w:rsidRDefault="00A94ED5" w:rsidP="00A94ED5">
      <w:pPr>
        <w:pStyle w:val="Nivel2"/>
        <w:numPr>
          <w:ilvl w:val="1"/>
          <w:numId w:val="9"/>
        </w:numPr>
        <w:spacing w:afterLines="120" w:after="288" w:line="312" w:lineRule="auto"/>
        <w:ind w:left="0" w:firstLine="709"/>
        <w:rPr>
          <w:rFonts w:eastAsia="Arial"/>
          <w:color w:val="auto"/>
        </w:rPr>
      </w:pPr>
      <w:r w:rsidRPr="00513FC2">
        <w:rPr>
          <w:rFonts w:eastAsia="Arial"/>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659370D" w14:textId="77777777" w:rsidR="00A94ED5" w:rsidRPr="00513FC2" w:rsidRDefault="00A94ED5" w:rsidP="00A94ED5">
      <w:pPr>
        <w:pStyle w:val="Nivel2"/>
        <w:numPr>
          <w:ilvl w:val="1"/>
          <w:numId w:val="9"/>
        </w:numPr>
        <w:spacing w:afterLines="120" w:after="288" w:line="312" w:lineRule="auto"/>
        <w:ind w:left="0" w:firstLine="709"/>
        <w:rPr>
          <w:color w:val="auto"/>
        </w:rPr>
      </w:pPr>
      <w:bookmarkStart w:id="4" w:name="_Hlk121934117"/>
      <w:r w:rsidRPr="00513FC2">
        <w:rPr>
          <w:color w:val="auto"/>
        </w:rPr>
        <w:t xml:space="preserve">O fornecedor enquadrado como microempreendedor individual que pretenda auferir os benefícios do tratamento diferenciado previstos na </w:t>
      </w:r>
      <w:hyperlink r:id="rId27" w:history="1">
        <w:r w:rsidRPr="00513FC2">
          <w:rPr>
            <w:rStyle w:val="Hyperlink"/>
            <w:color w:val="auto"/>
            <w:u w:val="none"/>
          </w:rPr>
          <w:t>Lei Complementar n. 123, de 2006</w:t>
        </w:r>
      </w:hyperlink>
      <w:r w:rsidRPr="00513FC2">
        <w:rPr>
          <w:color w:val="auto"/>
        </w:rPr>
        <w:t>, estará dispensado da prova de inscrição nos cadastros de contribuintes estadual e municipal.</w:t>
      </w:r>
    </w:p>
    <w:bookmarkEnd w:id="4"/>
    <w:p w14:paraId="47A1AA0A"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lastRenderedPageBreak/>
        <w:t>Qualificação Econômico-Financeira</w:t>
      </w:r>
    </w:p>
    <w:p w14:paraId="200523F1" w14:textId="4F66334D"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00409405"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certidão negativa de falência expedida pelo distribuidor da sede do fornecedor - </w:t>
      </w:r>
      <w:hyperlink r:id="rId28" w:anchor="art69" w:history="1">
        <w:r w:rsidRPr="00513FC2">
          <w:rPr>
            <w:rStyle w:val="Hyperlink"/>
            <w:color w:val="auto"/>
            <w:u w:val="none"/>
          </w:rPr>
          <w:t>Lei nº 14.133, de 2021, art. 69, caput, inciso II</w:t>
        </w:r>
      </w:hyperlink>
      <w:r w:rsidRPr="00513FC2">
        <w:rPr>
          <w:color w:val="auto"/>
        </w:rPr>
        <w:t>);</w:t>
      </w:r>
    </w:p>
    <w:p w14:paraId="487B318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513FC2" w:rsidRDefault="00A94ED5" w:rsidP="00A94ED5">
      <w:pPr>
        <w:pStyle w:val="Nivel3"/>
        <w:spacing w:afterLines="120" w:after="288" w:line="312" w:lineRule="auto"/>
        <w:ind w:left="567" w:firstLine="709"/>
        <w:rPr>
          <w:color w:val="auto"/>
        </w:rPr>
      </w:pPr>
      <w:r w:rsidRPr="00513FC2">
        <w:rPr>
          <w:color w:val="auto"/>
        </w:rPr>
        <w:t>I - Liquidez Geral (LG) = (Ativo Circulante + Realizável a Longo Prazo) / (Passivo Circulante + Passivo Não Circulante);</w:t>
      </w:r>
    </w:p>
    <w:p w14:paraId="432C8A91" w14:textId="77777777" w:rsidR="00A94ED5" w:rsidRPr="00513FC2" w:rsidRDefault="00A94ED5" w:rsidP="00A94ED5">
      <w:pPr>
        <w:pStyle w:val="Nivel3"/>
        <w:spacing w:afterLines="120" w:after="288" w:line="312" w:lineRule="auto"/>
        <w:ind w:left="567" w:firstLine="709"/>
        <w:rPr>
          <w:color w:val="auto"/>
        </w:rPr>
      </w:pPr>
      <w:r w:rsidRPr="00513FC2">
        <w:rPr>
          <w:color w:val="auto"/>
        </w:rPr>
        <w:t>II - Solvência Geral (SG)= (Ativo Total) / (Passivo Circulante +Passivo não Circulante); e</w:t>
      </w:r>
    </w:p>
    <w:p w14:paraId="1ECCAFA0" w14:textId="77777777" w:rsidR="00A94ED5" w:rsidRPr="00513FC2" w:rsidRDefault="00A94ED5" w:rsidP="00A94ED5">
      <w:pPr>
        <w:pStyle w:val="Nivel3"/>
        <w:spacing w:afterLines="120" w:after="288" w:line="312" w:lineRule="auto"/>
        <w:ind w:left="567" w:firstLine="709"/>
        <w:rPr>
          <w:color w:val="auto"/>
        </w:rPr>
      </w:pPr>
      <w:r w:rsidRPr="00513FC2">
        <w:rPr>
          <w:color w:val="auto"/>
        </w:rPr>
        <w:t>III - Liquidez Corrente (LC) = (Ativo Circulante) / (Passivo Circulante).</w:t>
      </w:r>
    </w:p>
    <w:p w14:paraId="2D7A4386" w14:textId="03F0E98C"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 xml:space="preserve">Caso a empresa licitante apresente resultado inferior ou igual a 1 (um) em qualquer dos índices de Liquidez Geral (LG), Solvência Geral (SG) e Liquidez Corrente (LC), será exigido para fins de habilitação capital mínimo de </w:t>
      </w:r>
      <w:r w:rsidR="00A026A1" w:rsidRPr="00513FC2">
        <w:rPr>
          <w:color w:val="auto"/>
        </w:rPr>
        <w:t>1</w:t>
      </w:r>
      <w:r w:rsidRPr="00513FC2">
        <w:rPr>
          <w:color w:val="auto"/>
        </w:rPr>
        <w:t>% do valor total estimado da contratação</w:t>
      </w:r>
      <w:r w:rsidR="00A068C2" w:rsidRPr="00513FC2">
        <w:rPr>
          <w:color w:val="auto"/>
        </w:rPr>
        <w:t>.</w:t>
      </w:r>
    </w:p>
    <w:p w14:paraId="467D4093"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As empresas criadas no exercício financeiro da licitação deverão atender a todas as exigências da habilitação e poderão substituir os demonstrativos contábeis pelo balanço de abertura. (</w:t>
      </w:r>
      <w:hyperlink r:id="rId29" w:anchor="art65§1" w:history="1">
        <w:r w:rsidRPr="00513FC2">
          <w:rPr>
            <w:rStyle w:val="Hyperlink"/>
            <w:color w:val="auto"/>
            <w:u w:val="none"/>
          </w:rPr>
          <w:t>Lei nº 14.133, de 2021, art. 65, §1º</w:t>
        </w:r>
      </w:hyperlink>
      <w:r w:rsidRPr="00513FC2">
        <w:rPr>
          <w:color w:val="auto"/>
        </w:rPr>
        <w:t>).</w:t>
      </w:r>
    </w:p>
    <w:p w14:paraId="4E231986"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513FC2">
          <w:rPr>
            <w:rStyle w:val="Hyperlink"/>
            <w:color w:val="auto"/>
            <w:u w:val="none"/>
          </w:rPr>
          <w:t>Lei nº 14.133, de 2021, art. 69, §6º</w:t>
        </w:r>
      </w:hyperlink>
      <w:r w:rsidRPr="00513FC2">
        <w:rPr>
          <w:color w:val="auto"/>
        </w:rPr>
        <w:t>)</w:t>
      </w:r>
    </w:p>
    <w:p w14:paraId="33970684" w14:textId="77777777" w:rsidR="00A94ED5" w:rsidRPr="00513FC2" w:rsidRDefault="00A94ED5" w:rsidP="00A94ED5">
      <w:pPr>
        <w:pStyle w:val="Nvel2-Red"/>
        <w:numPr>
          <w:ilvl w:val="1"/>
          <w:numId w:val="9"/>
        </w:numPr>
        <w:spacing w:afterLines="120" w:after="288" w:line="312" w:lineRule="auto"/>
        <w:ind w:left="0" w:firstLine="709"/>
        <w:rPr>
          <w:i w:val="0"/>
          <w:iCs w:val="0"/>
          <w:color w:val="auto"/>
        </w:rPr>
      </w:pPr>
      <w:r w:rsidRPr="00513FC2">
        <w:rPr>
          <w:i w:val="0"/>
          <w:iCs w:val="0"/>
          <w:color w:val="auto"/>
        </w:rPr>
        <w:t>O atendimento dos índices econômicos previstos neste item deverá ser atestado mediante declaração assinada por profissional habilitado da área contábil, apresentada pelo fornecedor.</w:t>
      </w:r>
    </w:p>
    <w:p w14:paraId="43E1D1D1" w14:textId="77777777" w:rsidR="00A94ED5" w:rsidRPr="00513FC2" w:rsidRDefault="00A94ED5" w:rsidP="00A94ED5">
      <w:pPr>
        <w:pStyle w:val="Nvel1-SemNum"/>
        <w:spacing w:before="120" w:afterLines="120" w:after="288" w:line="312" w:lineRule="auto"/>
        <w:ind w:left="0" w:firstLine="709"/>
        <w:rPr>
          <w:color w:val="auto"/>
        </w:rPr>
      </w:pPr>
      <w:r w:rsidRPr="00513FC2">
        <w:rPr>
          <w:color w:val="auto"/>
        </w:rPr>
        <w:t>Qualificação Técnica</w:t>
      </w:r>
    </w:p>
    <w:p w14:paraId="796BBD4E" w14:textId="77777777" w:rsidR="00A94ED5" w:rsidRPr="00513FC2" w:rsidRDefault="00A94ED5" w:rsidP="00A94ED5">
      <w:pPr>
        <w:pStyle w:val="Nvel2-Red"/>
        <w:numPr>
          <w:ilvl w:val="1"/>
          <w:numId w:val="9"/>
        </w:numPr>
        <w:spacing w:afterLines="120" w:after="288" w:line="312" w:lineRule="auto"/>
        <w:ind w:left="0" w:firstLine="709"/>
        <w:rPr>
          <w:i w:val="0"/>
          <w:iCs w:val="0"/>
          <w:color w:val="auto"/>
        </w:rPr>
      </w:pPr>
      <w:r w:rsidRPr="00513FC2">
        <w:rPr>
          <w:i w:val="0"/>
          <w:iCs w:val="0"/>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54A580A" w14:textId="057F84DE"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t xml:space="preserve">Para fins da comprovação de que trata este subitem, os atestados deverão dizer respeito a contratos executados com as seguintes características </w:t>
      </w:r>
      <w:r w:rsidR="00EA603A" w:rsidRPr="00513FC2">
        <w:rPr>
          <w:b/>
          <w:bCs/>
          <w:i w:val="0"/>
          <w:iCs w:val="0"/>
          <w:color w:val="auto"/>
        </w:rPr>
        <w:t xml:space="preserve">e quantidades </w:t>
      </w:r>
      <w:r w:rsidRPr="00513FC2">
        <w:rPr>
          <w:i w:val="0"/>
          <w:iCs w:val="0"/>
          <w:color w:val="auto"/>
        </w:rPr>
        <w:t xml:space="preserve">mínimas: </w:t>
      </w:r>
    </w:p>
    <w:p w14:paraId="710979A5" w14:textId="77777777"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lastRenderedPageBreak/>
        <w:t>Será admitida, para fins de comprovação de quantitativo mínimo, a apresentação e o somatório de diferentes atestados executados de forma concomitante.</w:t>
      </w:r>
    </w:p>
    <w:p w14:paraId="138C960C" w14:textId="77777777" w:rsidR="00A94ED5" w:rsidRPr="00513FC2" w:rsidRDefault="00A94ED5" w:rsidP="00A94ED5">
      <w:pPr>
        <w:pStyle w:val="Nvel3-R"/>
        <w:numPr>
          <w:ilvl w:val="2"/>
          <w:numId w:val="9"/>
        </w:numPr>
        <w:spacing w:afterLines="120" w:after="288" w:line="312" w:lineRule="auto"/>
        <w:ind w:left="170" w:firstLine="709"/>
        <w:rPr>
          <w:rFonts w:eastAsia="Arial"/>
          <w:i w:val="0"/>
          <w:iCs w:val="0"/>
          <w:color w:val="auto"/>
        </w:rPr>
      </w:pPr>
      <w:r w:rsidRPr="00513FC2">
        <w:rPr>
          <w:rFonts w:eastAsia="Arial"/>
          <w:i w:val="0"/>
          <w:iCs w:val="0"/>
          <w:color w:val="auto"/>
        </w:rPr>
        <w:t>Os atestados de capacidade técnica poderão ser apresentados em nome da matriz ou da filial do fornecedor.</w:t>
      </w:r>
    </w:p>
    <w:p w14:paraId="1364FB71" w14:textId="77777777" w:rsidR="00A94ED5" w:rsidRPr="00513FC2" w:rsidRDefault="00A94ED5" w:rsidP="00A94ED5">
      <w:pPr>
        <w:pStyle w:val="Nvel3-R"/>
        <w:numPr>
          <w:ilvl w:val="2"/>
          <w:numId w:val="9"/>
        </w:numPr>
        <w:spacing w:afterLines="120" w:after="288" w:line="312" w:lineRule="auto"/>
        <w:ind w:left="170" w:firstLine="709"/>
        <w:rPr>
          <w:i w:val="0"/>
          <w:iCs w:val="0"/>
          <w:color w:val="auto"/>
        </w:rPr>
      </w:pPr>
      <w:r w:rsidRPr="00513FC2">
        <w:rPr>
          <w:i w:val="0"/>
          <w:iCs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513FC2" w:rsidRDefault="00A94ED5" w:rsidP="00A94ED5">
      <w:pPr>
        <w:pStyle w:val="Nivel2"/>
        <w:numPr>
          <w:ilvl w:val="1"/>
          <w:numId w:val="9"/>
        </w:numPr>
        <w:spacing w:afterLines="120" w:after="288" w:line="312" w:lineRule="auto"/>
        <w:ind w:left="0" w:firstLine="709"/>
        <w:rPr>
          <w:color w:val="auto"/>
        </w:rPr>
      </w:pPr>
      <w:r w:rsidRPr="00513FC2">
        <w:rPr>
          <w:color w:val="auto"/>
        </w:rPr>
        <w:t>Caso admitida a participação de cooperativas, será exigida a seguinte documentação complementar:</w:t>
      </w:r>
    </w:p>
    <w:p w14:paraId="734D5A4A"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history="1">
        <w:r w:rsidRPr="00513FC2">
          <w:rPr>
            <w:rStyle w:val="Hyperlink"/>
            <w:color w:val="auto"/>
            <w:u w:val="none"/>
          </w:rPr>
          <w:t>arts. 4º, inciso XI, 21, inciso I e 42, §§2º a 6º da Lei n. 5.764, de 1971</w:t>
        </w:r>
      </w:hyperlink>
      <w:r w:rsidRPr="00513FC2">
        <w:rPr>
          <w:color w:val="auto"/>
        </w:rPr>
        <w:t>;</w:t>
      </w:r>
    </w:p>
    <w:p w14:paraId="798DB899"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A declaração de regularidade de situação do contribuinte individual – DRSCI, para cada um dos cooperados indicados;</w:t>
      </w:r>
    </w:p>
    <w:p w14:paraId="4CEFBF31"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comprovação do capital social proporcional ao número de cooperados necessários à prestação do serviço; </w:t>
      </w:r>
    </w:p>
    <w:p w14:paraId="24868D26"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O registro previsto na </w:t>
      </w:r>
      <w:hyperlink r:id="rId32" w:history="1">
        <w:r w:rsidRPr="00513FC2">
          <w:rPr>
            <w:rStyle w:val="Hyperlink"/>
            <w:color w:val="auto"/>
            <w:u w:val="none"/>
          </w:rPr>
          <w:t>Lei n. 5.764, de 1971, art. 107</w:t>
        </w:r>
      </w:hyperlink>
      <w:r w:rsidRPr="00513FC2">
        <w:rPr>
          <w:color w:val="auto"/>
        </w:rPr>
        <w:t>;</w:t>
      </w:r>
    </w:p>
    <w:p w14:paraId="58E1B62E"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 A comprovação de integração das respectivas quotas-partes por parte dos cooperados que executarão o contrato;</w:t>
      </w:r>
    </w:p>
    <w:p w14:paraId="6616F892" w14:textId="77777777"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513FC2" w:rsidRDefault="00A94ED5" w:rsidP="00A94ED5">
      <w:pPr>
        <w:pStyle w:val="Nivel3"/>
        <w:numPr>
          <w:ilvl w:val="2"/>
          <w:numId w:val="9"/>
        </w:numPr>
        <w:spacing w:afterLines="120" w:after="288" w:line="312" w:lineRule="auto"/>
        <w:ind w:left="170" w:firstLine="709"/>
        <w:rPr>
          <w:color w:val="auto"/>
        </w:rPr>
      </w:pPr>
      <w:r w:rsidRPr="00513FC2">
        <w:rPr>
          <w:color w:val="auto"/>
        </w:rPr>
        <w:t xml:space="preserve">A última auditoria contábil-financeira da cooperativa, conforme dispõe o </w:t>
      </w:r>
      <w:hyperlink r:id="rId33" w:anchor="art112" w:history="1">
        <w:r w:rsidRPr="00513FC2">
          <w:rPr>
            <w:rStyle w:val="Hyperlink"/>
            <w:color w:val="auto"/>
            <w:u w:val="none"/>
          </w:rPr>
          <w:t>art. 112 da Lei n. 5.764, de 1971</w:t>
        </w:r>
      </w:hyperlink>
      <w:r w:rsidRPr="00513FC2">
        <w:rPr>
          <w:color w:val="auto"/>
        </w:rPr>
        <w:t>, ou uma declaração, sob as penas da lei, de que tal auditoria não foi exigida pelo órgão fiscalizador</w:t>
      </w:r>
      <w:r w:rsidR="00EC1485" w:rsidRPr="00513FC2">
        <w:rPr>
          <w:color w:val="auto"/>
        </w:rPr>
        <w:t>.</w:t>
      </w:r>
    </w:p>
    <w:p w14:paraId="63204413" w14:textId="0E2B830A" w:rsidR="00EC1485" w:rsidRPr="00513FC2" w:rsidRDefault="00EC1485" w:rsidP="00EC1485">
      <w:pPr>
        <w:pStyle w:val="Nivel1"/>
        <w:rPr>
          <w:color w:val="auto"/>
        </w:rPr>
      </w:pPr>
      <w:r w:rsidRPr="00513FC2">
        <w:rPr>
          <w:color w:val="auto"/>
        </w:rPr>
        <w:t>ESTIMATIVAS DO VALOR DA CONTRATAÇÃO</w:t>
      </w:r>
    </w:p>
    <w:p w14:paraId="2A61AF8A" w14:textId="21891386" w:rsidR="00DF186B" w:rsidRPr="00513FC2" w:rsidRDefault="00DF186B" w:rsidP="00DF186B">
      <w:pPr>
        <w:pStyle w:val="Nivel2"/>
        <w:numPr>
          <w:ilvl w:val="1"/>
          <w:numId w:val="9"/>
        </w:numPr>
        <w:spacing w:afterLines="120" w:after="288" w:line="312" w:lineRule="auto"/>
        <w:ind w:left="0" w:firstLine="709"/>
        <w:rPr>
          <w:b/>
          <w:bCs/>
          <w:color w:val="auto"/>
        </w:rPr>
      </w:pPr>
      <w:r w:rsidRPr="00513FC2">
        <w:rPr>
          <w:color w:val="auto"/>
        </w:rPr>
        <w:t xml:space="preserve">O custo estimado total da contratação é </w:t>
      </w:r>
      <w:r w:rsidR="004B0EE1" w:rsidRPr="00513FC2">
        <w:rPr>
          <w:color w:val="auto"/>
        </w:rPr>
        <w:t>o estabelecido nos</w:t>
      </w:r>
      <w:r w:rsidRPr="00513FC2">
        <w:rPr>
          <w:color w:val="auto"/>
        </w:rPr>
        <w:t xml:space="preserve"> custos unitários apostos na </w:t>
      </w:r>
      <w:r w:rsidR="00F7339C" w:rsidRPr="00513FC2">
        <w:rPr>
          <w:color w:val="auto"/>
        </w:rPr>
        <w:t xml:space="preserve">acima. </w:t>
      </w:r>
    </w:p>
    <w:p w14:paraId="08C3394E" w14:textId="10629178" w:rsidR="00EC1485" w:rsidRPr="00513FC2" w:rsidRDefault="00EE1A4E" w:rsidP="00EE1A4E">
      <w:pPr>
        <w:pStyle w:val="Nivel1"/>
        <w:rPr>
          <w:color w:val="auto"/>
        </w:rPr>
      </w:pPr>
      <w:r w:rsidRPr="00513FC2">
        <w:rPr>
          <w:color w:val="auto"/>
        </w:rPr>
        <w:lastRenderedPageBreak/>
        <w:t>ADEQUAÇÃO ORÇAMENTÁRIA</w:t>
      </w:r>
    </w:p>
    <w:p w14:paraId="74C71CB8" w14:textId="643CEE63" w:rsidR="00F462CD" w:rsidRPr="00513FC2" w:rsidRDefault="00EE1A4E" w:rsidP="00F462CD">
      <w:pPr>
        <w:pStyle w:val="Nivel2"/>
        <w:numPr>
          <w:ilvl w:val="1"/>
          <w:numId w:val="9"/>
        </w:numPr>
        <w:spacing w:afterLines="120" w:after="288" w:line="312" w:lineRule="auto"/>
        <w:ind w:left="0" w:firstLine="709"/>
        <w:rPr>
          <w:color w:val="auto"/>
        </w:rPr>
      </w:pPr>
      <w:r w:rsidRPr="00513FC2">
        <w:rPr>
          <w:color w:val="auto"/>
        </w:rPr>
        <w:t>As</w:t>
      </w:r>
      <w:r w:rsidRPr="00513FC2">
        <w:rPr>
          <w:b/>
          <w:bCs/>
          <w:color w:val="auto"/>
        </w:rPr>
        <w:t xml:space="preserve"> </w:t>
      </w:r>
      <w:r w:rsidR="00F462CD" w:rsidRPr="00513FC2">
        <w:rPr>
          <w:rFonts w:eastAsia="Arial"/>
          <w:color w:val="auto"/>
        </w:rPr>
        <w:t>despesas decorrentes da pres</w:t>
      </w:r>
      <w:bookmarkStart w:id="5" w:name="_GoBack"/>
      <w:bookmarkEnd w:id="5"/>
      <w:r w:rsidR="00F462CD" w:rsidRPr="00513FC2">
        <w:rPr>
          <w:rFonts w:eastAsia="Arial"/>
          <w:color w:val="auto"/>
        </w:rPr>
        <w:t>ente contratação correrão à conta de recursos específicos consignados no Orçamento Geral da Administração.</w:t>
      </w:r>
    </w:p>
    <w:p w14:paraId="15A5BDB3" w14:textId="77777777" w:rsidR="00F462CD" w:rsidRPr="00513FC2" w:rsidRDefault="00F462CD" w:rsidP="00F462CD">
      <w:pPr>
        <w:pStyle w:val="PargrafodaLista"/>
        <w:numPr>
          <w:ilvl w:val="2"/>
          <w:numId w:val="9"/>
        </w:numPr>
        <w:spacing w:before="120" w:afterLines="120" w:after="288" w:line="312" w:lineRule="auto"/>
        <w:ind w:left="170" w:firstLine="823"/>
        <w:contextualSpacing w:val="0"/>
        <w:jc w:val="both"/>
        <w:rPr>
          <w:rFonts w:ascii="Arial" w:eastAsia="Arial" w:hAnsi="Arial" w:cs="Arial"/>
          <w:sz w:val="20"/>
          <w:szCs w:val="20"/>
        </w:rPr>
      </w:pPr>
      <w:r w:rsidRPr="00513FC2">
        <w:rPr>
          <w:rFonts w:ascii="Arial" w:eastAsia="Arial" w:hAnsi="Arial" w:cs="Arial"/>
          <w:sz w:val="20"/>
          <w:szCs w:val="20"/>
        </w:rPr>
        <w:t>A contratação será atendida pela seguinte dotação:</w:t>
      </w:r>
    </w:p>
    <w:tbl>
      <w:tblPr>
        <w:tblStyle w:val="Style13"/>
        <w:tblpPr w:leftFromText="180" w:rightFromText="180" w:vertAnchor="text" w:horzAnchor="page" w:tblpX="971" w:tblpY="484"/>
        <w:tblOverlap w:val="never"/>
        <w:tblW w:w="102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1"/>
        <w:gridCol w:w="2128"/>
        <w:gridCol w:w="1983"/>
        <w:gridCol w:w="2410"/>
        <w:gridCol w:w="1417"/>
        <w:gridCol w:w="992"/>
      </w:tblGrid>
      <w:tr w:rsidR="00596439" w:rsidRPr="00981AAD" w14:paraId="5DD7CFA0" w14:textId="77777777" w:rsidTr="004213C5">
        <w:trPr>
          <w:trHeight w:val="702"/>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DAB3983" w14:textId="77777777" w:rsidR="00596439" w:rsidRPr="00981AAD" w:rsidRDefault="00596439" w:rsidP="004213C5">
            <w:pPr>
              <w:pStyle w:val="Nivel1"/>
              <w:numPr>
                <w:ilvl w:val="0"/>
                <w:numId w:val="0"/>
              </w:numPr>
              <w:rPr>
                <w:rFonts w:ascii="Times New Roman" w:hAnsi="Times New Roman"/>
                <w:sz w:val="18"/>
                <w:szCs w:val="18"/>
              </w:rPr>
            </w:pPr>
            <w:r w:rsidRPr="00981AAD">
              <w:rPr>
                <w:rFonts w:ascii="Times New Roman" w:hAnsi="Times New Roman"/>
                <w:sz w:val="18"/>
                <w:szCs w:val="18"/>
              </w:rPr>
              <w:t>UNIDADE GESTORA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CCA07AB"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ÓRGÃO ORÇAMENTARIO</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D9503FC"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UND ORÇAMENTARIA</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8C6C4B8"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FUNÇÃO/SUBFUNÇÃO</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C75AF84"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PROGRAMA</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9DB51A4"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sz w:val="18"/>
                <w:szCs w:val="18"/>
              </w:rPr>
              <w:t>AÇÃO</w:t>
            </w:r>
          </w:p>
        </w:tc>
      </w:tr>
      <w:tr w:rsidR="00596439" w:rsidRPr="00981AAD" w14:paraId="37014226" w14:textId="77777777" w:rsidTr="004213C5">
        <w:trPr>
          <w:trHeight w:val="524"/>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B451F2B" w14:textId="77777777" w:rsidR="00596439" w:rsidRPr="00981AAD" w:rsidRDefault="00596439" w:rsidP="004213C5">
            <w:pPr>
              <w:jc w:val="center"/>
              <w:rPr>
                <w:rFonts w:ascii="Times New Roman" w:eastAsia="Times New Roman" w:hAnsi="Times New Roman" w:cs="Times New Roman"/>
                <w:bCs/>
                <w:sz w:val="18"/>
                <w:szCs w:val="18"/>
              </w:rPr>
            </w:pPr>
            <w:r w:rsidRPr="00981AAD">
              <w:rPr>
                <w:rFonts w:ascii="Times New Roman" w:eastAsia="Times New Roman" w:hAnsi="Times New Roman" w:cs="Times New Roman"/>
                <w:bCs/>
                <w:sz w:val="18"/>
                <w:szCs w:val="18"/>
              </w:rPr>
              <w:t>18001</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5C979A1" w14:textId="77777777" w:rsidR="00596439" w:rsidRPr="00981AAD" w:rsidRDefault="00596439" w:rsidP="004213C5">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D4BFA7D" w14:textId="77777777" w:rsidR="00596439" w:rsidRPr="00981AAD" w:rsidRDefault="00596439" w:rsidP="004213C5">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25001</w:t>
            </w:r>
          </w:p>
        </w:tc>
        <w:tc>
          <w:tcPr>
            <w:tcW w:w="241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6D587EA" w14:textId="779756EF" w:rsidR="00596439" w:rsidRPr="00981AAD" w:rsidRDefault="00596439" w:rsidP="004213C5">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12-364</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8CC1B9D" w14:textId="77777777" w:rsidR="00596439" w:rsidRPr="00981AAD" w:rsidRDefault="00596439" w:rsidP="004213C5">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38</w:t>
            </w:r>
          </w:p>
        </w:tc>
        <w:tc>
          <w:tcPr>
            <w:tcW w:w="99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94C1653" w14:textId="631164C7" w:rsidR="00596439" w:rsidRPr="00981AAD" w:rsidRDefault="00596439" w:rsidP="004213C5">
            <w:pPr>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2.73</w:t>
            </w:r>
          </w:p>
        </w:tc>
      </w:tr>
      <w:tr w:rsidR="00596439" w:rsidRPr="00981AAD" w14:paraId="17E5C074" w14:textId="77777777" w:rsidTr="004213C5">
        <w:trPr>
          <w:trHeight w:val="670"/>
        </w:trPr>
        <w:tc>
          <w:tcPr>
            <w:tcW w:w="1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6537708"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DESPESA</w:t>
            </w:r>
          </w:p>
        </w:tc>
        <w:tc>
          <w:tcPr>
            <w:tcW w:w="212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B0A55D6" w14:textId="13711A4E" w:rsidR="00596439" w:rsidRPr="00981AAD" w:rsidRDefault="00596439" w:rsidP="00596439">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641</w:t>
            </w:r>
            <w:r>
              <w:rPr>
                <w:rFonts w:ascii="Times New Roman" w:eastAsia="Times New Roman" w:hAnsi="Times New Roman" w:cs="Times New Roman"/>
                <w:bCs/>
                <w:i/>
                <w:iCs/>
                <w:sz w:val="18"/>
                <w:szCs w:val="18"/>
              </w:rPr>
              <w:t xml:space="preserve"> </w:t>
            </w:r>
            <w:r>
              <w:rPr>
                <w:rFonts w:ascii="Times New Roman" w:eastAsia="Times New Roman" w:hAnsi="Times New Roman" w:cs="Times New Roman"/>
                <w:bCs/>
                <w:i/>
                <w:iCs/>
                <w:sz w:val="18"/>
                <w:szCs w:val="18"/>
              </w:rPr>
              <w:t>3.3.90.39.00</w:t>
            </w:r>
          </w:p>
        </w:tc>
        <w:tc>
          <w:tcPr>
            <w:tcW w:w="198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68BA3BF" w14:textId="77777777" w:rsidR="00596439" w:rsidRPr="00981AAD" w:rsidRDefault="00596439" w:rsidP="004213C5">
            <w:pPr>
              <w:jc w:val="center"/>
              <w:rPr>
                <w:rFonts w:ascii="Times New Roman" w:eastAsia="Times New Roman" w:hAnsi="Times New Roman" w:cs="Times New Roman"/>
                <w:b/>
                <w:sz w:val="18"/>
                <w:szCs w:val="18"/>
              </w:rPr>
            </w:pPr>
            <w:r w:rsidRPr="00981AAD">
              <w:rPr>
                <w:rFonts w:ascii="Times New Roman" w:eastAsia="Times New Roman" w:hAnsi="Times New Roman" w:cs="Times New Roman"/>
                <w:b/>
                <w:bCs/>
                <w:sz w:val="18"/>
                <w:szCs w:val="18"/>
              </w:rPr>
              <w:t>FONTE DE RECURSO</w:t>
            </w:r>
          </w:p>
        </w:tc>
        <w:tc>
          <w:tcPr>
            <w:tcW w:w="4819"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615A848" w14:textId="77777777" w:rsidR="00596439" w:rsidRPr="00981AAD" w:rsidRDefault="00596439" w:rsidP="004213C5">
            <w:pPr>
              <w:jc w:val="center"/>
              <w:rPr>
                <w:rFonts w:ascii="Times New Roman" w:eastAsia="Times New Roman" w:hAnsi="Times New Roman" w:cs="Times New Roman"/>
                <w:bCs/>
                <w:i/>
                <w:iCs/>
                <w:sz w:val="18"/>
                <w:szCs w:val="18"/>
              </w:rPr>
            </w:pPr>
            <w:r>
              <w:rPr>
                <w:rFonts w:ascii="Times New Roman" w:eastAsia="Times New Roman" w:hAnsi="Times New Roman" w:cs="Times New Roman"/>
                <w:bCs/>
                <w:i/>
                <w:iCs/>
                <w:sz w:val="18"/>
                <w:szCs w:val="18"/>
              </w:rPr>
              <w:t>RECURSOS PRÓPRIOS</w:t>
            </w:r>
          </w:p>
        </w:tc>
      </w:tr>
    </w:tbl>
    <w:p w14:paraId="666EF048" w14:textId="77777777" w:rsidR="00F462CD" w:rsidRPr="00513FC2" w:rsidRDefault="00F462CD" w:rsidP="00F462CD">
      <w:pPr>
        <w:pStyle w:val="Nvel2-Red"/>
        <w:numPr>
          <w:ilvl w:val="1"/>
          <w:numId w:val="9"/>
        </w:numPr>
        <w:spacing w:afterLines="120" w:after="288" w:line="312" w:lineRule="auto"/>
        <w:ind w:left="999" w:firstLine="709"/>
        <w:rPr>
          <w:i w:val="0"/>
          <w:iCs w:val="0"/>
          <w:color w:val="auto"/>
        </w:rPr>
      </w:pPr>
      <w:r w:rsidRPr="00513FC2">
        <w:rPr>
          <w:i w:val="0"/>
          <w:iCs w:val="0"/>
          <w:color w:val="auto"/>
        </w:rPr>
        <w:t>A dotação relativa aos exercícios financeiros subsequentes será indicada após aprovação da Lei Orçamentária respectiva e liberação dos créditos correspondentes, mediante apostilamento.</w:t>
      </w:r>
    </w:p>
    <w:p w14:paraId="30E5F6BC" w14:textId="47AD83B0" w:rsidR="00F77A01" w:rsidRPr="00513FC2" w:rsidRDefault="00F77A01" w:rsidP="00A94ED5">
      <w:pPr>
        <w:pStyle w:val="Nivel1"/>
        <w:numPr>
          <w:ilvl w:val="0"/>
          <w:numId w:val="0"/>
        </w:numPr>
        <w:ind w:left="851"/>
        <w:rPr>
          <w:color w:val="auto"/>
        </w:rPr>
      </w:pPr>
    </w:p>
    <w:p w14:paraId="56829B47" w14:textId="77777777" w:rsidR="00F57BCF" w:rsidRPr="00513FC2" w:rsidRDefault="541BAD3D" w:rsidP="541BAD3D">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Integram este Termo de Referência, para todos os fins e efeitos, os seguintes anexos:</w:t>
      </w:r>
    </w:p>
    <w:p w14:paraId="3A4F1CC3" w14:textId="77777777" w:rsidR="00913D5E" w:rsidRPr="00513FC2" w:rsidRDefault="00913D5E"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p>
    <w:p w14:paraId="27A0ABC1" w14:textId="03FD80AE" w:rsidR="541BAD3D" w:rsidRPr="00513FC2" w:rsidRDefault="541BAD3D"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 xml:space="preserve">Apêndice </w:t>
      </w:r>
      <w:r w:rsidR="00163981" w:rsidRPr="00513FC2">
        <w:rPr>
          <w:rFonts w:ascii="Arial" w:eastAsia="Times New Roman" w:hAnsi="Arial" w:cs="Arial"/>
          <w:b/>
          <w:bCs/>
          <w:sz w:val="20"/>
          <w:szCs w:val="20"/>
        </w:rPr>
        <w:t>A</w:t>
      </w:r>
      <w:r w:rsidRPr="00513FC2">
        <w:rPr>
          <w:rFonts w:ascii="Arial" w:eastAsia="Times New Roman" w:hAnsi="Arial" w:cs="Arial"/>
          <w:b/>
          <w:bCs/>
          <w:sz w:val="20"/>
          <w:szCs w:val="20"/>
        </w:rPr>
        <w:t xml:space="preserve"> – Estudo Técnico Preliminar</w:t>
      </w:r>
      <w:r w:rsidR="00C46733" w:rsidRPr="00513FC2">
        <w:rPr>
          <w:rFonts w:ascii="Arial" w:eastAsia="Times New Roman" w:hAnsi="Arial" w:cs="Arial"/>
          <w:b/>
          <w:bCs/>
          <w:sz w:val="20"/>
          <w:szCs w:val="20"/>
        </w:rPr>
        <w:t xml:space="preserve">; </w:t>
      </w:r>
    </w:p>
    <w:p w14:paraId="3EE480B0" w14:textId="5892C495" w:rsidR="00C9122D" w:rsidRPr="00513FC2" w:rsidRDefault="00884E02"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513FC2">
        <w:rPr>
          <w:rFonts w:ascii="Arial" w:eastAsia="Times New Roman" w:hAnsi="Arial" w:cs="Arial"/>
          <w:b/>
          <w:bCs/>
          <w:sz w:val="20"/>
          <w:szCs w:val="20"/>
        </w:rPr>
        <w:t xml:space="preserve">Apêndice B – Mapa </w:t>
      </w:r>
      <w:r w:rsidR="00510897" w:rsidRPr="00513FC2">
        <w:rPr>
          <w:rFonts w:ascii="Arial" w:eastAsia="Times New Roman" w:hAnsi="Arial" w:cs="Arial"/>
          <w:b/>
          <w:bCs/>
          <w:sz w:val="20"/>
          <w:szCs w:val="20"/>
        </w:rPr>
        <w:t>de Gerenciamento de Riscos</w:t>
      </w:r>
      <w:r w:rsidR="00170FFB" w:rsidRPr="00513FC2">
        <w:rPr>
          <w:rFonts w:ascii="Arial" w:eastAsia="Times New Roman" w:hAnsi="Arial" w:cs="Arial"/>
          <w:b/>
          <w:bCs/>
          <w:sz w:val="20"/>
          <w:szCs w:val="20"/>
        </w:rPr>
        <w:t xml:space="preserve">; </w:t>
      </w:r>
    </w:p>
    <w:p w14:paraId="04EFBC48" w14:textId="77777777" w:rsidR="00F57BCF" w:rsidRPr="00513FC2" w:rsidRDefault="00F57BCF" w:rsidP="541BAD3D">
      <w:pPr>
        <w:jc w:val="both"/>
        <w:rPr>
          <w:rFonts w:ascii="Arial" w:eastAsia="Times New Roman" w:hAnsi="Arial" w:cs="Arial"/>
          <w:b/>
          <w:bCs/>
          <w:sz w:val="20"/>
          <w:szCs w:val="20"/>
          <w:highlight w:val="lightGray"/>
        </w:rPr>
      </w:pPr>
    </w:p>
    <w:p w14:paraId="0C785042" w14:textId="2089D248" w:rsidR="00F7339C" w:rsidRDefault="00F7339C" w:rsidP="00F7339C">
      <w:pPr>
        <w:ind w:left="2880"/>
        <w:jc w:val="right"/>
        <w:rPr>
          <w:rFonts w:ascii="Arial" w:eastAsia="Times New Roman" w:hAnsi="Arial" w:cs="Arial"/>
          <w:sz w:val="20"/>
          <w:szCs w:val="20"/>
        </w:rPr>
      </w:pPr>
      <w:r w:rsidRPr="00513FC2">
        <w:rPr>
          <w:rFonts w:ascii="Arial" w:eastAsia="Times New Roman" w:hAnsi="Arial" w:cs="Arial"/>
          <w:sz w:val="20"/>
          <w:szCs w:val="20"/>
        </w:rPr>
        <w:t xml:space="preserve">  Belo Jardim-PE, </w:t>
      </w:r>
      <w:r w:rsidR="00E56BE5">
        <w:rPr>
          <w:rFonts w:ascii="Arial" w:eastAsia="Times New Roman" w:hAnsi="Arial" w:cs="Arial"/>
          <w:sz w:val="20"/>
          <w:szCs w:val="20"/>
        </w:rPr>
        <w:t>1</w:t>
      </w:r>
      <w:r w:rsidR="00596439">
        <w:rPr>
          <w:rFonts w:ascii="Arial" w:eastAsia="Times New Roman" w:hAnsi="Arial" w:cs="Arial"/>
          <w:sz w:val="20"/>
          <w:szCs w:val="20"/>
        </w:rPr>
        <w:t>5</w:t>
      </w:r>
      <w:r w:rsidRPr="00513FC2">
        <w:rPr>
          <w:rFonts w:ascii="Arial" w:eastAsia="Times New Roman" w:hAnsi="Arial" w:cs="Arial"/>
          <w:sz w:val="20"/>
          <w:szCs w:val="20"/>
        </w:rPr>
        <w:t xml:space="preserve"> de </w:t>
      </w:r>
      <w:r w:rsidR="00596439">
        <w:rPr>
          <w:rFonts w:ascii="Arial" w:eastAsia="Times New Roman" w:hAnsi="Arial" w:cs="Arial"/>
          <w:sz w:val="20"/>
          <w:szCs w:val="20"/>
        </w:rPr>
        <w:t>julho</w:t>
      </w:r>
      <w:r w:rsidRPr="00513FC2">
        <w:rPr>
          <w:rFonts w:ascii="Arial" w:eastAsia="Times New Roman" w:hAnsi="Arial" w:cs="Arial"/>
          <w:sz w:val="20"/>
          <w:szCs w:val="20"/>
        </w:rPr>
        <w:t xml:space="preserve"> de 2024.</w:t>
      </w:r>
    </w:p>
    <w:p w14:paraId="51693124" w14:textId="77777777" w:rsidR="00596439" w:rsidRPr="00513FC2" w:rsidRDefault="00596439" w:rsidP="00F7339C">
      <w:pPr>
        <w:ind w:left="2880"/>
        <w:jc w:val="right"/>
        <w:rPr>
          <w:rFonts w:ascii="Arial" w:eastAsia="Times New Roman" w:hAnsi="Arial" w:cs="Arial"/>
          <w:sz w:val="20"/>
          <w:szCs w:val="20"/>
        </w:rPr>
      </w:pPr>
    </w:p>
    <w:p w14:paraId="60CEFBE8" w14:textId="7FA2D31C" w:rsidR="00F7339C" w:rsidRPr="00513FC2" w:rsidRDefault="00F7339C" w:rsidP="00F7339C">
      <w:pPr>
        <w:ind w:left="2880"/>
        <w:jc w:val="right"/>
        <w:rPr>
          <w:rFonts w:ascii="Arial" w:eastAsia="Times New Roman" w:hAnsi="Arial" w:cs="Arial"/>
          <w:sz w:val="20"/>
          <w:szCs w:val="20"/>
        </w:rPr>
      </w:pPr>
    </w:p>
    <w:p w14:paraId="2489E597" w14:textId="5939949E" w:rsidR="00F7339C" w:rsidRPr="00513FC2" w:rsidRDefault="00F7339C" w:rsidP="00F7339C">
      <w:pPr>
        <w:ind w:left="2880"/>
        <w:jc w:val="right"/>
        <w:rPr>
          <w:rFonts w:ascii="Arial" w:eastAsia="Times New Roman" w:hAnsi="Arial" w:cs="Arial"/>
          <w:sz w:val="20"/>
          <w:szCs w:val="20"/>
        </w:rPr>
      </w:pPr>
    </w:p>
    <w:p w14:paraId="7EABAD38" w14:textId="77777777" w:rsidR="00F7339C" w:rsidRPr="00513FC2" w:rsidRDefault="00F7339C" w:rsidP="00F7339C">
      <w:pPr>
        <w:rPr>
          <w:rFonts w:ascii="Arial" w:eastAsia="Times New Roman" w:hAnsi="Arial" w:cs="Arial"/>
          <w:sz w:val="20"/>
          <w:szCs w:val="20"/>
        </w:rPr>
      </w:pPr>
    </w:p>
    <w:p w14:paraId="1B2134DB" w14:textId="77777777" w:rsidR="00F7339C" w:rsidRPr="00513FC2" w:rsidRDefault="00F7339C" w:rsidP="00CE0B13">
      <w:pPr>
        <w:pStyle w:val="Nivel2"/>
        <w:spacing w:before="0"/>
        <w:ind w:left="998" w:hanging="431"/>
        <w:contextualSpacing/>
        <w:jc w:val="center"/>
        <w:rPr>
          <w:color w:val="auto"/>
        </w:rPr>
      </w:pPr>
      <w:r w:rsidRPr="00513FC2">
        <w:rPr>
          <w:color w:val="auto"/>
        </w:rPr>
        <w:t>__________________________________</w:t>
      </w:r>
    </w:p>
    <w:p w14:paraId="63F5849B" w14:textId="12C8E66E" w:rsidR="00F7339C" w:rsidRPr="00513FC2" w:rsidRDefault="00596439" w:rsidP="00CE0B13">
      <w:pPr>
        <w:pStyle w:val="Nivel2"/>
        <w:spacing w:before="0"/>
        <w:ind w:left="998" w:hanging="431"/>
        <w:contextualSpacing/>
        <w:jc w:val="center"/>
        <w:rPr>
          <w:b/>
          <w:bCs/>
          <w:color w:val="auto"/>
        </w:rPr>
      </w:pPr>
      <w:r>
        <w:rPr>
          <w:b/>
          <w:bCs/>
          <w:color w:val="auto"/>
        </w:rPr>
        <w:t>ANTONIO HENRIQUE HABIB CARVALHO</w:t>
      </w:r>
    </w:p>
    <w:p w14:paraId="5CED2059" w14:textId="3E7EA06E" w:rsidR="00F7339C" w:rsidRPr="00513FC2" w:rsidRDefault="00E56BE5" w:rsidP="00CE0B13">
      <w:pPr>
        <w:pStyle w:val="Nivel2"/>
        <w:spacing w:before="0"/>
        <w:ind w:left="998" w:hanging="431"/>
        <w:contextualSpacing/>
        <w:jc w:val="center"/>
        <w:rPr>
          <w:rFonts w:eastAsia="Times New Roman"/>
          <w:color w:val="auto"/>
        </w:rPr>
      </w:pPr>
      <w:r>
        <w:rPr>
          <w:color w:val="auto"/>
        </w:rPr>
        <w:t xml:space="preserve">Diretor – </w:t>
      </w:r>
      <w:r w:rsidR="00596439">
        <w:rPr>
          <w:color w:val="auto"/>
        </w:rPr>
        <w:t>Presidente</w:t>
      </w:r>
      <w:r>
        <w:rPr>
          <w:color w:val="auto"/>
        </w:rPr>
        <w:t xml:space="preserve"> da AEB</w:t>
      </w:r>
    </w:p>
    <w:p w14:paraId="5372E546" w14:textId="37EC20C2" w:rsidR="002E73C8" w:rsidRPr="00513FC2" w:rsidRDefault="008B5459" w:rsidP="541BAD3D">
      <w:pPr>
        <w:rPr>
          <w:rFonts w:ascii="Arial" w:eastAsia="Times New Roman" w:hAnsi="Arial" w:cs="Arial"/>
          <w:sz w:val="20"/>
          <w:szCs w:val="20"/>
        </w:rPr>
      </w:pPr>
      <w:r w:rsidRPr="00513FC2">
        <w:rPr>
          <w:rFonts w:ascii="Arial" w:eastAsia="Times New Roman" w:hAnsi="Arial" w:cs="Arial"/>
          <w:sz w:val="20"/>
          <w:szCs w:val="20"/>
        </w:rPr>
        <w:t xml:space="preserve"> </w:t>
      </w:r>
    </w:p>
    <w:p w14:paraId="1ED3802A" w14:textId="77777777" w:rsidR="001728B9" w:rsidRPr="00513FC2" w:rsidRDefault="001728B9" w:rsidP="541BAD3D">
      <w:pPr>
        <w:jc w:val="center"/>
        <w:rPr>
          <w:rFonts w:ascii="Arial" w:eastAsia="Times New Roman" w:hAnsi="Arial" w:cs="Arial"/>
          <w:sz w:val="20"/>
          <w:szCs w:val="20"/>
        </w:rPr>
      </w:pPr>
    </w:p>
    <w:sectPr w:rsidR="001728B9" w:rsidRPr="00513FC2" w:rsidSect="00B957EE">
      <w:headerReference w:type="default" r:id="rId34"/>
      <w:footerReference w:type="default" r:id="rId35"/>
      <w:pgSz w:w="11906" w:h="16838"/>
      <w:pgMar w:top="1701" w:right="1077" w:bottom="1276" w:left="1134" w:header="0" w:footer="68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7354D" w14:textId="77777777" w:rsidR="00761E7B" w:rsidRDefault="00761E7B">
      <w:r>
        <w:separator/>
      </w:r>
    </w:p>
  </w:endnote>
  <w:endnote w:type="continuationSeparator" w:id="0">
    <w:p w14:paraId="21E1FAFE" w14:textId="77777777" w:rsidR="00761E7B" w:rsidRDefault="00761E7B">
      <w:r>
        <w:continuationSeparator/>
      </w:r>
    </w:p>
  </w:endnote>
  <w:endnote w:type="continuationNotice" w:id="1">
    <w:p w14:paraId="7E829647" w14:textId="77777777" w:rsidR="00761E7B" w:rsidRDefault="00761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Times New Roman"/>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3DDE" w14:textId="2BA3D027" w:rsidR="00603DB6" w:rsidRDefault="009F2DEF" w:rsidP="002B071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18"/>
        <w:szCs w:val="18"/>
      </w:rPr>
    </w:pPr>
    <w:r w:rsidRPr="009F2DEF">
      <w:rPr>
        <w:rFonts w:ascii="Times New Roman" w:eastAsia="Times New Roman" w:hAnsi="Times New Roman" w:cs="Times New Roman"/>
        <w:noProof/>
        <w:color w:val="000000"/>
        <w:sz w:val="18"/>
        <w:szCs w:val="18"/>
      </w:rPr>
      <w:drawing>
        <wp:anchor distT="0" distB="0" distL="114300" distR="114300" simplePos="0" relativeHeight="251664384" behindDoc="0" locked="0" layoutInCell="1" hidden="0" allowOverlap="1" wp14:anchorId="675829B7" wp14:editId="54900490">
          <wp:simplePos x="0" y="0"/>
          <wp:positionH relativeFrom="column">
            <wp:posOffset>209550</wp:posOffset>
          </wp:positionH>
          <wp:positionV relativeFrom="paragraph">
            <wp:posOffset>5715</wp:posOffset>
          </wp:positionV>
          <wp:extent cx="6545580" cy="664845"/>
          <wp:effectExtent l="0" t="0" r="7620" b="1905"/>
          <wp:wrapNone/>
          <wp:docPr id="4" name="image4.png" descr="C:\Users\andre\AppData\Local\Microsoft\Windows\INetCache\Content.Word\BAIXO.PNG"/>
          <wp:cNvGraphicFramePr/>
          <a:graphic xmlns:a="http://schemas.openxmlformats.org/drawingml/2006/main">
            <a:graphicData uri="http://schemas.openxmlformats.org/drawingml/2006/picture">
              <pic:pic xmlns:pic="http://schemas.openxmlformats.org/drawingml/2006/picture">
                <pic:nvPicPr>
                  <pic:cNvPr id="0" name="image4.png" descr="C:\Users\andre\AppData\Local\Microsoft\Windows\INetCache\Content.Word\BAIXO.PNG"/>
                  <pic:cNvPicPr preferRelativeResize="0"/>
                </pic:nvPicPr>
                <pic:blipFill>
                  <a:blip r:embed="rId1"/>
                  <a:srcRect/>
                  <a:stretch>
                    <a:fillRect/>
                  </a:stretch>
                </pic:blipFill>
                <pic:spPr>
                  <a:xfrm>
                    <a:off x="0" y="0"/>
                    <a:ext cx="6545580" cy="664845"/>
                  </a:xfrm>
                  <a:prstGeom prst="rect">
                    <a:avLst/>
                  </a:prstGeom>
                  <a:ln/>
                </pic:spPr>
              </pic:pic>
            </a:graphicData>
          </a:graphic>
          <wp14:sizeRelH relativeFrom="margin">
            <wp14:pctWidth>0</wp14:pctWidth>
          </wp14:sizeRelH>
          <wp14:sizeRelV relativeFrom="margin">
            <wp14:pctHeight>0</wp14:pctHeight>
          </wp14:sizeRelV>
        </wp:anchor>
      </w:drawing>
    </w:r>
    <w:r w:rsidRPr="009F2DEF">
      <w:rPr>
        <w:rFonts w:ascii="Times New Roman" w:eastAsia="Times New Roman" w:hAnsi="Times New Roman" w:cs="Times New Roman"/>
        <w:noProof/>
        <w:color w:val="000000"/>
        <w:sz w:val="18"/>
        <w:szCs w:val="18"/>
      </w:rPr>
      <mc:AlternateContent>
        <mc:Choice Requires="wps">
          <w:drawing>
            <wp:anchor distT="0" distB="0" distL="114300" distR="114300" simplePos="0" relativeHeight="251666432" behindDoc="0" locked="0" layoutInCell="1" hidden="0" allowOverlap="1" wp14:anchorId="45CC6CC1" wp14:editId="46754587">
              <wp:simplePos x="0" y="0"/>
              <wp:positionH relativeFrom="column">
                <wp:posOffset>674370</wp:posOffset>
              </wp:positionH>
              <wp:positionV relativeFrom="paragraph">
                <wp:posOffset>-47625</wp:posOffset>
              </wp:positionV>
              <wp:extent cx="5935980" cy="765810"/>
              <wp:effectExtent l="0" t="0" r="0" b="0"/>
              <wp:wrapNone/>
              <wp:docPr id="309" name="Retângulo 5"/>
              <wp:cNvGraphicFramePr/>
              <a:graphic xmlns:a="http://schemas.openxmlformats.org/drawingml/2006/main">
                <a:graphicData uri="http://schemas.microsoft.com/office/word/2010/wordprocessingShape">
                  <wps:wsp>
                    <wps:cNvSpPr/>
                    <wps:spPr>
                      <a:xfrm>
                        <a:off x="0" y="0"/>
                        <a:ext cx="5935980" cy="765810"/>
                      </a:xfrm>
                      <a:prstGeom prst="rect">
                        <a:avLst/>
                      </a:prstGeom>
                      <a:noFill/>
                      <a:ln>
                        <a:noFill/>
                      </a:ln>
                    </wps:spPr>
                    <wps:txbx>
                      <w:txbxContent>
                        <w:p w14:paraId="23603601" w14:textId="77777777" w:rsidR="009F2DEF" w:rsidRDefault="009F2DEF"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3D048135" w14:textId="77777777" w:rsidR="009F2DEF" w:rsidRPr="00625663" w:rsidRDefault="009F2DEF"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70DD949C" w14:textId="77777777" w:rsidR="009F2DEF" w:rsidRDefault="009F2DEF">
                          <w:pPr>
                            <w:spacing w:line="275" w:lineRule="auto"/>
                            <w:jc w:val="center"/>
                            <w:textDirection w:val="btLr"/>
                          </w:pPr>
                          <w:r>
                            <w:rPr>
                              <w:rFonts w:ascii="Montserrat" w:eastAsia="Montserrat" w:hAnsi="Montserrat" w:cs="Montserrat"/>
                              <w:b/>
                              <w:color w:val="FFFFFF"/>
                            </w:rPr>
                            <w:t>www.aeb.edu.br / E-mail: presidencia@aeb.edu.br</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5CC6CC1" id="Retângulo 5" o:spid="_x0000_s1027" style="position:absolute;margin-left:53.1pt;margin-top:-3.75pt;width:467.4pt;height:60.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" filled="f" stroked="f">
              <v:textbox inset="2.53958mm,1.2694mm,2.53958mm,1.2694mm">
                <w:txbxContent>
                  <w:p w14:paraId="23603601" w14:textId="77777777" w:rsidR="009F2DEF" w:rsidRDefault="009F2DEF"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Autarquia Educacional do Belo Jardim – AEB </w:t>
                    </w:r>
                  </w:p>
                  <w:p w14:paraId="3D048135" w14:textId="77777777" w:rsidR="009F2DEF" w:rsidRPr="00625663" w:rsidRDefault="009F2DEF" w:rsidP="00290D04">
                    <w:pPr>
                      <w:jc w:val="center"/>
                      <w:textDirection w:val="btLr"/>
                      <w:rPr>
                        <w:rFonts w:ascii="Montserrat" w:eastAsia="Montserrat" w:hAnsi="Montserrat" w:cs="Montserrat"/>
                        <w:b/>
                        <w:color w:val="FFFFFF"/>
                      </w:rPr>
                    </w:pPr>
                    <w:r>
                      <w:rPr>
                        <w:rFonts w:ascii="Montserrat" w:eastAsia="Montserrat" w:hAnsi="Montserrat" w:cs="Montserrat"/>
                        <w:b/>
                        <w:color w:val="FFFFFF"/>
                      </w:rPr>
                      <w:t xml:space="preserve">Sítio Inhumas, s/n - 1 DISTRITO, Belo Jardim - PE, 55150- </w:t>
                    </w:r>
                    <w:proofErr w:type="gramStart"/>
                    <w:r>
                      <w:rPr>
                        <w:rFonts w:ascii="Montserrat" w:eastAsia="Montserrat" w:hAnsi="Montserrat" w:cs="Montserrat"/>
                        <w:b/>
                        <w:color w:val="FFFFFF"/>
                      </w:rPr>
                      <w:t>001  Contato</w:t>
                    </w:r>
                    <w:proofErr w:type="gramEnd"/>
                    <w:r>
                      <w:rPr>
                        <w:rFonts w:ascii="Montserrat" w:eastAsia="Montserrat" w:hAnsi="Montserrat" w:cs="Montserrat"/>
                        <w:b/>
                        <w:color w:val="FFFFFF"/>
                      </w:rPr>
                      <w:t>: 81-3726-8100</w:t>
                    </w:r>
                  </w:p>
                  <w:p w14:paraId="70DD949C" w14:textId="77777777" w:rsidR="009F2DEF" w:rsidRDefault="009F2DEF">
                    <w:pPr>
                      <w:spacing w:line="275" w:lineRule="auto"/>
                      <w:jc w:val="center"/>
                      <w:textDirection w:val="btLr"/>
                    </w:pPr>
                    <w:r>
                      <w:rPr>
                        <w:rFonts w:ascii="Montserrat" w:eastAsia="Montserrat" w:hAnsi="Montserrat" w:cs="Montserrat"/>
                        <w:b/>
                        <w:color w:val="FFFFFF"/>
                      </w:rPr>
                      <w:t>www.aeb.edu.br / E-mail: presidencia@aeb.edu.br</w:t>
                    </w:r>
                  </w:p>
                </w:txbxContent>
              </v:textbox>
            </v:rect>
          </w:pict>
        </mc:Fallback>
      </mc:AlternateContent>
    </w:r>
    <w:r w:rsidRPr="009F2DEF">
      <w:rPr>
        <w:rFonts w:ascii="Times New Roman" w:eastAsia="Times New Roman" w:hAnsi="Times New Roman" w:cs="Times New Roman"/>
        <w:noProof/>
        <w:color w:val="000000"/>
        <w:sz w:val="18"/>
        <w:szCs w:val="18"/>
      </w:rPr>
      <w:drawing>
        <wp:anchor distT="0" distB="0" distL="114300" distR="114300" simplePos="0" relativeHeight="251665408" behindDoc="0" locked="0" layoutInCell="1" hidden="0" allowOverlap="1" wp14:anchorId="08208F2B" wp14:editId="3F39DF67">
          <wp:simplePos x="0" y="0"/>
          <wp:positionH relativeFrom="page">
            <wp:posOffset>-7620</wp:posOffset>
          </wp:positionH>
          <wp:positionV relativeFrom="paragraph">
            <wp:posOffset>-161925</wp:posOffset>
          </wp:positionV>
          <wp:extent cx="975360" cy="775970"/>
          <wp:effectExtent l="0" t="0" r="0" b="5080"/>
          <wp:wrapNone/>
          <wp:docPr id="5" name="image3.png" descr="C:\Users\andre\AppData\Local\Microsoft\Windows\INetCache\Content.Word\logobj.png"/>
          <wp:cNvGraphicFramePr/>
          <a:graphic xmlns:a="http://schemas.openxmlformats.org/drawingml/2006/main">
            <a:graphicData uri="http://schemas.openxmlformats.org/drawingml/2006/picture">
              <pic:pic xmlns:pic="http://schemas.openxmlformats.org/drawingml/2006/picture">
                <pic:nvPicPr>
                  <pic:cNvPr id="0" name="image3.png" descr="C:\Users\andre\AppData\Local\Microsoft\Windows\INetCache\Content.Word\logobj.png"/>
                  <pic:cNvPicPr preferRelativeResize="0"/>
                </pic:nvPicPr>
                <pic:blipFill>
                  <a:blip r:embed="rId2"/>
                  <a:srcRect r="66521"/>
                  <a:stretch>
                    <a:fillRect/>
                  </a:stretch>
                </pic:blipFill>
                <pic:spPr>
                  <a:xfrm>
                    <a:off x="0" y="0"/>
                    <a:ext cx="975360" cy="77597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D17C4" w14:textId="77777777" w:rsidR="00761E7B" w:rsidRDefault="00761E7B">
      <w:r>
        <w:separator/>
      </w:r>
    </w:p>
  </w:footnote>
  <w:footnote w:type="continuationSeparator" w:id="0">
    <w:p w14:paraId="3E27AD97" w14:textId="77777777" w:rsidR="00761E7B" w:rsidRDefault="00761E7B">
      <w:r>
        <w:continuationSeparator/>
      </w:r>
    </w:p>
  </w:footnote>
  <w:footnote w:type="continuationNotice" w:id="1">
    <w:p w14:paraId="62E1C98C" w14:textId="77777777" w:rsidR="00761E7B" w:rsidRDefault="00761E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3B115" w14:textId="77777777" w:rsidR="009F2DEF" w:rsidRDefault="009F2DEF">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60288" behindDoc="0" locked="0" layoutInCell="1" hidden="0" allowOverlap="1" wp14:anchorId="1B4D547D" wp14:editId="00AEFB6F">
          <wp:simplePos x="0" y="0"/>
          <wp:positionH relativeFrom="column">
            <wp:posOffset>590550</wp:posOffset>
          </wp:positionH>
          <wp:positionV relativeFrom="paragraph">
            <wp:posOffset>40640</wp:posOffset>
          </wp:positionV>
          <wp:extent cx="951865" cy="537210"/>
          <wp:effectExtent l="0" t="0" r="0" b="0"/>
          <wp:wrapNone/>
          <wp:docPr id="16539197" name="Imagem 2" descr="C:\SERVIÇOS\PROJETOS\AEB\FBJ\OK\CD\LOGOTIPO FBJ -.jpg"/>
          <wp:cNvGraphicFramePr/>
          <a:graphic xmlns:a="http://schemas.openxmlformats.org/drawingml/2006/main">
            <a:graphicData uri="http://schemas.openxmlformats.org/drawingml/2006/picture">
              <pic:pic xmlns:pic="http://schemas.openxmlformats.org/drawingml/2006/picture">
                <pic:nvPicPr>
                  <pic:cNvPr id="0" name="image5.jpg" descr="C:\SERVIÇOS\PROJETOS\AEB\FBJ\OK\CD\LOGOTIPO FBJ -.jpg"/>
                  <pic:cNvPicPr preferRelativeResize="0"/>
                </pic:nvPicPr>
                <pic:blipFill>
                  <a:blip r:embed="rId1"/>
                  <a:srcRect b="12218"/>
                  <a:stretch>
                    <a:fillRect/>
                  </a:stretch>
                </pic:blipFill>
                <pic:spPr>
                  <a:xfrm>
                    <a:off x="0" y="0"/>
                    <a:ext cx="951865" cy="537210"/>
                  </a:xfrm>
                  <a:prstGeom prst="rect">
                    <a:avLst/>
                  </a:prstGeom>
                  <a:ln/>
                </pic:spPr>
              </pic:pic>
            </a:graphicData>
          </a:graphic>
        </wp:anchor>
      </w:drawing>
    </w:r>
    <w:r>
      <w:rPr>
        <w:noProof/>
      </w:rPr>
      <w:drawing>
        <wp:anchor distT="0" distB="0" distL="114300" distR="114300" simplePos="0" relativeHeight="251661312" behindDoc="0" locked="0" layoutInCell="1" hidden="0" allowOverlap="1" wp14:anchorId="53F07165" wp14:editId="4A3AFFA4">
          <wp:simplePos x="0" y="0"/>
          <wp:positionH relativeFrom="column">
            <wp:posOffset>-718185</wp:posOffset>
          </wp:positionH>
          <wp:positionV relativeFrom="paragraph">
            <wp:posOffset>59690</wp:posOffset>
          </wp:positionV>
          <wp:extent cx="1238250" cy="516890"/>
          <wp:effectExtent l="0" t="0" r="0" b="0"/>
          <wp:wrapNone/>
          <wp:docPr id="951126521" name="Imagem 3" descr="C:\SERVIÇOS\PROJETOS\AEB\FBJ\OK\CD\LOGOTIPO AEB - .jpg"/>
          <wp:cNvGraphicFramePr/>
          <a:graphic xmlns:a="http://schemas.openxmlformats.org/drawingml/2006/main">
            <a:graphicData uri="http://schemas.openxmlformats.org/drawingml/2006/picture">
              <pic:pic xmlns:pic="http://schemas.openxmlformats.org/drawingml/2006/picture">
                <pic:nvPicPr>
                  <pic:cNvPr id="0" name="image2.jpg" descr="C:\SERVIÇOS\PROJETOS\AEB\FBJ\OK\CD\LOGOTIPO AEB - .jpg"/>
                  <pic:cNvPicPr preferRelativeResize="0"/>
                </pic:nvPicPr>
                <pic:blipFill>
                  <a:blip r:embed="rId2"/>
                  <a:srcRect b="27778"/>
                  <a:stretch>
                    <a:fillRect/>
                  </a:stretch>
                </pic:blipFill>
                <pic:spPr>
                  <a:xfrm>
                    <a:off x="0" y="0"/>
                    <a:ext cx="1238250" cy="51689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546E149D" wp14:editId="1E19A34E">
              <wp:simplePos x="0" y="0"/>
              <wp:positionH relativeFrom="column">
                <wp:posOffset>1828800</wp:posOffset>
              </wp:positionH>
              <wp:positionV relativeFrom="paragraph">
                <wp:posOffset>-177799</wp:posOffset>
              </wp:positionV>
              <wp:extent cx="4276546" cy="914400"/>
              <wp:effectExtent l="0" t="0" r="0" b="0"/>
              <wp:wrapNone/>
              <wp:docPr id="308" name="Retângulo 1"/>
              <wp:cNvGraphicFramePr/>
              <a:graphic xmlns:a="http://schemas.openxmlformats.org/drawingml/2006/main">
                <a:graphicData uri="http://schemas.microsoft.com/office/word/2010/wordprocessingShape">
                  <wps:wsp>
                    <wps:cNvSpPr/>
                    <wps:spPr>
                      <a:xfrm>
                        <a:off x="3212490" y="3327563"/>
                        <a:ext cx="4267021" cy="904875"/>
                      </a:xfrm>
                      <a:prstGeom prst="rect">
                        <a:avLst/>
                      </a:prstGeom>
                      <a:noFill/>
                      <a:ln>
                        <a:noFill/>
                      </a:ln>
                    </wps:spPr>
                    <wps:txbx>
                      <w:txbxContent>
                        <w:p w14:paraId="68F12462" w14:textId="77777777" w:rsidR="009F2DEF" w:rsidRDefault="009F2DEF">
                          <w:pPr>
                            <w:spacing w:line="258" w:lineRule="auto"/>
                            <w:jc w:val="center"/>
                            <w:textDirection w:val="btLr"/>
                            <w:rPr>
                              <w:b/>
                              <w:color w:val="002060"/>
                              <w:sz w:val="28"/>
                            </w:rPr>
                          </w:pPr>
                        </w:p>
                        <w:p w14:paraId="060DC010" w14:textId="77777777" w:rsidR="009F2DEF" w:rsidRDefault="009F2DEF">
                          <w:pPr>
                            <w:spacing w:line="258" w:lineRule="auto"/>
                            <w:jc w:val="center"/>
                            <w:textDirection w:val="btLr"/>
                          </w:pPr>
                          <w:r>
                            <w:rPr>
                              <w:b/>
                              <w:color w:val="002060"/>
                              <w:sz w:val="28"/>
                            </w:rPr>
                            <w:t>Autarquia Educacional do Belo Jardim - AEB                                                                            Faculdade do Belo Jardim - FBJ</w:t>
                          </w:r>
                        </w:p>
                      </w:txbxContent>
                    </wps:txbx>
                    <wps:bodyPr spcFirstLastPara="1" wrap="square" lIns="91425" tIns="45700" rIns="91425" bIns="45700" anchor="t" anchorCtr="0">
                      <a:noAutofit/>
                    </wps:bodyPr>
                  </wps:wsp>
                </a:graphicData>
              </a:graphic>
            </wp:anchor>
          </w:drawing>
        </mc:Choice>
        <mc:Fallback>
          <w:pict>
            <v:rect w14:anchorId="546E149D" id="Retângulo 1" o:spid="_x0000_s1026" style="position:absolute;margin-left:2in;margin-top:-14pt;width:336.75pt;height:1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" filled="f" stroked="f">
              <v:textbox inset="2.53958mm,1.2694mm,2.53958mm,1.2694mm">
                <w:txbxContent>
                  <w:p w14:paraId="68F12462" w14:textId="77777777" w:rsidR="009F2DEF" w:rsidRDefault="009F2DEF">
                    <w:pPr>
                      <w:spacing w:line="258" w:lineRule="auto"/>
                      <w:jc w:val="center"/>
                      <w:textDirection w:val="btLr"/>
                      <w:rPr>
                        <w:b/>
                        <w:color w:val="002060"/>
                        <w:sz w:val="28"/>
                      </w:rPr>
                    </w:pPr>
                  </w:p>
                  <w:p w14:paraId="060DC010" w14:textId="77777777" w:rsidR="009F2DEF" w:rsidRDefault="009F2DEF">
                    <w:pPr>
                      <w:spacing w:line="258" w:lineRule="auto"/>
                      <w:jc w:val="center"/>
                      <w:textDirection w:val="btLr"/>
                    </w:pPr>
                    <w:r>
                      <w:rPr>
                        <w:b/>
                        <w:color w:val="002060"/>
                        <w:sz w:val="28"/>
                      </w:rPr>
                      <w:t>Autarquia Educacional do Belo Jardim - AEB                                                                            Faculdade do Belo Jardim - FBJ</w:t>
                    </w:r>
                  </w:p>
                </w:txbxContent>
              </v:textbox>
            </v:rect>
          </w:pict>
        </mc:Fallback>
      </mc:AlternateContent>
    </w:r>
    <w:r>
      <w:rPr>
        <w:noProof/>
      </w:rPr>
      <w:drawing>
        <wp:anchor distT="0" distB="0" distL="114300" distR="114300" simplePos="0" relativeHeight="251662336" behindDoc="0" locked="0" layoutInCell="1" hidden="0" allowOverlap="1" wp14:anchorId="589A99C3" wp14:editId="3E09B10C">
          <wp:simplePos x="0" y="0"/>
          <wp:positionH relativeFrom="column">
            <wp:posOffset>-1076324</wp:posOffset>
          </wp:positionH>
          <wp:positionV relativeFrom="paragraph">
            <wp:posOffset>-448309</wp:posOffset>
          </wp:positionV>
          <wp:extent cx="7891145" cy="142875"/>
          <wp:effectExtent l="0" t="0" r="0" b="0"/>
          <wp:wrapNone/>
          <wp:docPr id="1307146312" name="Imagem 4" descr="C:\Users\andre\AppData\Local\Microsoft\Windows\INetCache\Content.Word\CIMA.PNG"/>
          <wp:cNvGraphicFramePr/>
          <a:graphic xmlns:a="http://schemas.openxmlformats.org/drawingml/2006/main">
            <a:graphicData uri="http://schemas.openxmlformats.org/drawingml/2006/picture">
              <pic:pic xmlns:pic="http://schemas.openxmlformats.org/drawingml/2006/picture">
                <pic:nvPicPr>
                  <pic:cNvPr id="0" name="image1.png" descr="C:\Users\andre\AppData\Local\Microsoft\Windows\INetCache\Content.Word\CIMA.PNG"/>
                  <pic:cNvPicPr preferRelativeResize="0"/>
                </pic:nvPicPr>
                <pic:blipFill>
                  <a:blip r:embed="rId3"/>
                  <a:srcRect/>
                  <a:stretch>
                    <a:fillRect/>
                  </a:stretch>
                </pic:blipFill>
                <pic:spPr>
                  <a:xfrm>
                    <a:off x="0" y="0"/>
                    <a:ext cx="7891145" cy="142875"/>
                  </a:xfrm>
                  <a:prstGeom prst="rect">
                    <a:avLst/>
                  </a:prstGeom>
                  <a:ln/>
                </pic:spPr>
              </pic:pic>
            </a:graphicData>
          </a:graphic>
        </wp:anchor>
      </w:drawing>
    </w:r>
  </w:p>
  <w:p w14:paraId="23313B03" w14:textId="77777777" w:rsidR="00603DB6" w:rsidRDefault="00603DB6">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nsid w:val="1D061A2F"/>
    <w:multiLevelType w:val="hybridMultilevel"/>
    <w:tmpl w:val="619AB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2">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3">
    <w:nsid w:val="4F553643"/>
    <w:multiLevelType w:val="multilevel"/>
    <w:tmpl w:val="E5BA9F2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6">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7">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2"/>
  </w:num>
  <w:num w:numId="2">
    <w:abstractNumId w:val="15"/>
  </w:num>
  <w:num w:numId="3">
    <w:abstractNumId w:val="3"/>
  </w:num>
  <w:num w:numId="4">
    <w:abstractNumId w:val="9"/>
  </w:num>
  <w:num w:numId="5">
    <w:abstractNumId w:val="8"/>
  </w:num>
  <w:num w:numId="6">
    <w:abstractNumId w:val="16"/>
  </w:num>
  <w:num w:numId="7">
    <w:abstractNumId w:val="2"/>
  </w:num>
  <w:num w:numId="8">
    <w:abstractNumId w:val="1"/>
  </w:num>
  <w:num w:numId="9">
    <w:abstractNumId w:val="6"/>
  </w:num>
  <w:num w:numId="10">
    <w:abstractNumId w:val="11"/>
  </w:num>
  <w:num w:numId="11">
    <w:abstractNumId w:val="10"/>
  </w:num>
  <w:num w:numId="12">
    <w:abstractNumId w:val="7"/>
  </w:num>
  <w:num w:numId="13">
    <w:abstractNumId w:val="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4"/>
  </w:num>
  <w:num w:numId="17">
    <w:abstractNumId w:val="13"/>
  </w:num>
  <w:num w:numId="18">
    <w:abstractNumId w:val="4"/>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BCF"/>
    <w:rsid w:val="000064A1"/>
    <w:rsid w:val="00021EE9"/>
    <w:rsid w:val="00023104"/>
    <w:rsid w:val="00025F57"/>
    <w:rsid w:val="00031CD9"/>
    <w:rsid w:val="00031FEF"/>
    <w:rsid w:val="00043391"/>
    <w:rsid w:val="000439E9"/>
    <w:rsid w:val="000459F2"/>
    <w:rsid w:val="0005355B"/>
    <w:rsid w:val="00053BEA"/>
    <w:rsid w:val="00055D52"/>
    <w:rsid w:val="00057496"/>
    <w:rsid w:val="00066C27"/>
    <w:rsid w:val="00066E9F"/>
    <w:rsid w:val="000705E4"/>
    <w:rsid w:val="000712B7"/>
    <w:rsid w:val="000753E6"/>
    <w:rsid w:val="00077B68"/>
    <w:rsid w:val="00086E67"/>
    <w:rsid w:val="00093241"/>
    <w:rsid w:val="00094428"/>
    <w:rsid w:val="00097DAA"/>
    <w:rsid w:val="000A153A"/>
    <w:rsid w:val="000A2854"/>
    <w:rsid w:val="000A2A10"/>
    <w:rsid w:val="000A3CD8"/>
    <w:rsid w:val="000A51F8"/>
    <w:rsid w:val="000A63D1"/>
    <w:rsid w:val="000B54D6"/>
    <w:rsid w:val="000B579A"/>
    <w:rsid w:val="000C063C"/>
    <w:rsid w:val="000C16A2"/>
    <w:rsid w:val="000C1C78"/>
    <w:rsid w:val="000D0E06"/>
    <w:rsid w:val="000D3590"/>
    <w:rsid w:val="000E2430"/>
    <w:rsid w:val="000E33BD"/>
    <w:rsid w:val="000E362A"/>
    <w:rsid w:val="000E687A"/>
    <w:rsid w:val="000F0C80"/>
    <w:rsid w:val="000F6930"/>
    <w:rsid w:val="00104E39"/>
    <w:rsid w:val="00113D94"/>
    <w:rsid w:val="001209DE"/>
    <w:rsid w:val="00121090"/>
    <w:rsid w:val="00122D5A"/>
    <w:rsid w:val="00123CCF"/>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841"/>
    <w:rsid w:val="00163981"/>
    <w:rsid w:val="00165DD3"/>
    <w:rsid w:val="00170FFB"/>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72D0"/>
    <w:rsid w:val="001C1CE5"/>
    <w:rsid w:val="001C2483"/>
    <w:rsid w:val="001D28C9"/>
    <w:rsid w:val="001D6DD3"/>
    <w:rsid w:val="001E102E"/>
    <w:rsid w:val="001F038D"/>
    <w:rsid w:val="001F1225"/>
    <w:rsid w:val="001F44F3"/>
    <w:rsid w:val="001F63E4"/>
    <w:rsid w:val="00200627"/>
    <w:rsid w:val="002010DC"/>
    <w:rsid w:val="00202A8C"/>
    <w:rsid w:val="00205681"/>
    <w:rsid w:val="00205937"/>
    <w:rsid w:val="00206E73"/>
    <w:rsid w:val="002103BC"/>
    <w:rsid w:val="00212172"/>
    <w:rsid w:val="00212E4A"/>
    <w:rsid w:val="00214FD2"/>
    <w:rsid w:val="002266D4"/>
    <w:rsid w:val="00231499"/>
    <w:rsid w:val="00231C2E"/>
    <w:rsid w:val="00240384"/>
    <w:rsid w:val="00243DE3"/>
    <w:rsid w:val="00244FF9"/>
    <w:rsid w:val="00245B5F"/>
    <w:rsid w:val="00247249"/>
    <w:rsid w:val="002510C0"/>
    <w:rsid w:val="00252DB2"/>
    <w:rsid w:val="00253B73"/>
    <w:rsid w:val="00253E87"/>
    <w:rsid w:val="0025405F"/>
    <w:rsid w:val="00257699"/>
    <w:rsid w:val="00260F76"/>
    <w:rsid w:val="00261E73"/>
    <w:rsid w:val="00265672"/>
    <w:rsid w:val="0026645F"/>
    <w:rsid w:val="0027551E"/>
    <w:rsid w:val="002850CE"/>
    <w:rsid w:val="00285216"/>
    <w:rsid w:val="00285B25"/>
    <w:rsid w:val="002A3F38"/>
    <w:rsid w:val="002B0715"/>
    <w:rsid w:val="002B273E"/>
    <w:rsid w:val="002B4421"/>
    <w:rsid w:val="002B46DA"/>
    <w:rsid w:val="002C1B62"/>
    <w:rsid w:val="002C29B0"/>
    <w:rsid w:val="002C6455"/>
    <w:rsid w:val="002C65F4"/>
    <w:rsid w:val="002C6B45"/>
    <w:rsid w:val="002D5586"/>
    <w:rsid w:val="002D5CB7"/>
    <w:rsid w:val="002D5E1B"/>
    <w:rsid w:val="002E1302"/>
    <w:rsid w:val="002E73C8"/>
    <w:rsid w:val="002F1F11"/>
    <w:rsid w:val="002F6AFA"/>
    <w:rsid w:val="002F6CD4"/>
    <w:rsid w:val="00306C6D"/>
    <w:rsid w:val="003071FE"/>
    <w:rsid w:val="003100F6"/>
    <w:rsid w:val="00310F44"/>
    <w:rsid w:val="003119F0"/>
    <w:rsid w:val="00312ED5"/>
    <w:rsid w:val="00313D12"/>
    <w:rsid w:val="00314B92"/>
    <w:rsid w:val="0031528C"/>
    <w:rsid w:val="003201A0"/>
    <w:rsid w:val="0032020F"/>
    <w:rsid w:val="0032176D"/>
    <w:rsid w:val="00321E60"/>
    <w:rsid w:val="00322A6B"/>
    <w:rsid w:val="003244F6"/>
    <w:rsid w:val="00325974"/>
    <w:rsid w:val="00325B42"/>
    <w:rsid w:val="00331C75"/>
    <w:rsid w:val="003407C1"/>
    <w:rsid w:val="00346C46"/>
    <w:rsid w:val="003549B9"/>
    <w:rsid w:val="00354A9A"/>
    <w:rsid w:val="003633D7"/>
    <w:rsid w:val="00363A99"/>
    <w:rsid w:val="003656DB"/>
    <w:rsid w:val="003658F4"/>
    <w:rsid w:val="00365A0A"/>
    <w:rsid w:val="003749F9"/>
    <w:rsid w:val="00374CCE"/>
    <w:rsid w:val="003754CF"/>
    <w:rsid w:val="003800F0"/>
    <w:rsid w:val="00380323"/>
    <w:rsid w:val="00382A77"/>
    <w:rsid w:val="00382B60"/>
    <w:rsid w:val="003844AA"/>
    <w:rsid w:val="003855D8"/>
    <w:rsid w:val="0038754A"/>
    <w:rsid w:val="00390D18"/>
    <w:rsid w:val="00394F10"/>
    <w:rsid w:val="003965C6"/>
    <w:rsid w:val="00397070"/>
    <w:rsid w:val="00397733"/>
    <w:rsid w:val="003A0C9D"/>
    <w:rsid w:val="003A34CC"/>
    <w:rsid w:val="003A439C"/>
    <w:rsid w:val="003A56C1"/>
    <w:rsid w:val="003B498B"/>
    <w:rsid w:val="003C0BA2"/>
    <w:rsid w:val="003C5246"/>
    <w:rsid w:val="003D0224"/>
    <w:rsid w:val="003D169B"/>
    <w:rsid w:val="003D2AD6"/>
    <w:rsid w:val="003D45A1"/>
    <w:rsid w:val="003D7DD1"/>
    <w:rsid w:val="003E0236"/>
    <w:rsid w:val="003E08D6"/>
    <w:rsid w:val="003E1889"/>
    <w:rsid w:val="003F0B8F"/>
    <w:rsid w:val="003F44DB"/>
    <w:rsid w:val="003F53E8"/>
    <w:rsid w:val="00401A1A"/>
    <w:rsid w:val="0040282B"/>
    <w:rsid w:val="004103F6"/>
    <w:rsid w:val="004171EE"/>
    <w:rsid w:val="00424B00"/>
    <w:rsid w:val="00430F0D"/>
    <w:rsid w:val="00434596"/>
    <w:rsid w:val="004351B1"/>
    <w:rsid w:val="00440D9F"/>
    <w:rsid w:val="0044441E"/>
    <w:rsid w:val="0045342B"/>
    <w:rsid w:val="00454963"/>
    <w:rsid w:val="00457CA2"/>
    <w:rsid w:val="004601CC"/>
    <w:rsid w:val="0046639F"/>
    <w:rsid w:val="00476FD1"/>
    <w:rsid w:val="004819DE"/>
    <w:rsid w:val="00482533"/>
    <w:rsid w:val="0048280D"/>
    <w:rsid w:val="00484001"/>
    <w:rsid w:val="00484A1C"/>
    <w:rsid w:val="00490B3C"/>
    <w:rsid w:val="004949F4"/>
    <w:rsid w:val="00496036"/>
    <w:rsid w:val="004971C8"/>
    <w:rsid w:val="004A1487"/>
    <w:rsid w:val="004A227A"/>
    <w:rsid w:val="004A3899"/>
    <w:rsid w:val="004A3C48"/>
    <w:rsid w:val="004A4689"/>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3FC2"/>
    <w:rsid w:val="00514523"/>
    <w:rsid w:val="00515ECB"/>
    <w:rsid w:val="00517131"/>
    <w:rsid w:val="0051749F"/>
    <w:rsid w:val="00521F80"/>
    <w:rsid w:val="005224D0"/>
    <w:rsid w:val="0052483B"/>
    <w:rsid w:val="005269C9"/>
    <w:rsid w:val="00532707"/>
    <w:rsid w:val="005441D4"/>
    <w:rsid w:val="00544C9A"/>
    <w:rsid w:val="00552BE2"/>
    <w:rsid w:val="00552F9E"/>
    <w:rsid w:val="00561615"/>
    <w:rsid w:val="00562539"/>
    <w:rsid w:val="005721B4"/>
    <w:rsid w:val="0057279C"/>
    <w:rsid w:val="0057389F"/>
    <w:rsid w:val="00580E61"/>
    <w:rsid w:val="00585244"/>
    <w:rsid w:val="00585624"/>
    <w:rsid w:val="00585A46"/>
    <w:rsid w:val="00587CA0"/>
    <w:rsid w:val="00591693"/>
    <w:rsid w:val="00593FDB"/>
    <w:rsid w:val="005942F8"/>
    <w:rsid w:val="00594F1D"/>
    <w:rsid w:val="00596439"/>
    <w:rsid w:val="005A0586"/>
    <w:rsid w:val="005A1142"/>
    <w:rsid w:val="005A5D82"/>
    <w:rsid w:val="005C2432"/>
    <w:rsid w:val="005C427E"/>
    <w:rsid w:val="005E21A2"/>
    <w:rsid w:val="005E2627"/>
    <w:rsid w:val="005E3590"/>
    <w:rsid w:val="005E6376"/>
    <w:rsid w:val="005F15D0"/>
    <w:rsid w:val="005F3942"/>
    <w:rsid w:val="005F40A9"/>
    <w:rsid w:val="005F4205"/>
    <w:rsid w:val="005F5A92"/>
    <w:rsid w:val="005F7A50"/>
    <w:rsid w:val="00603DB6"/>
    <w:rsid w:val="00604F3B"/>
    <w:rsid w:val="006131C1"/>
    <w:rsid w:val="0061593B"/>
    <w:rsid w:val="00630D5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2FB8"/>
    <w:rsid w:val="00697A5B"/>
    <w:rsid w:val="006A0291"/>
    <w:rsid w:val="006A321D"/>
    <w:rsid w:val="006A417B"/>
    <w:rsid w:val="006B4882"/>
    <w:rsid w:val="006B497B"/>
    <w:rsid w:val="006B6365"/>
    <w:rsid w:val="006C107F"/>
    <w:rsid w:val="006C1C4D"/>
    <w:rsid w:val="006C485D"/>
    <w:rsid w:val="006D25BD"/>
    <w:rsid w:val="006D3005"/>
    <w:rsid w:val="006D3C22"/>
    <w:rsid w:val="006D613C"/>
    <w:rsid w:val="006E022C"/>
    <w:rsid w:val="006E04B9"/>
    <w:rsid w:val="006E1126"/>
    <w:rsid w:val="006E19E6"/>
    <w:rsid w:val="006E1A0A"/>
    <w:rsid w:val="006E23F3"/>
    <w:rsid w:val="006E4FA1"/>
    <w:rsid w:val="006F05DE"/>
    <w:rsid w:val="00700A10"/>
    <w:rsid w:val="00700C6D"/>
    <w:rsid w:val="007013F5"/>
    <w:rsid w:val="007058CC"/>
    <w:rsid w:val="0070643B"/>
    <w:rsid w:val="007113F5"/>
    <w:rsid w:val="007120DE"/>
    <w:rsid w:val="00712252"/>
    <w:rsid w:val="00712601"/>
    <w:rsid w:val="00715E32"/>
    <w:rsid w:val="007252CA"/>
    <w:rsid w:val="007267F5"/>
    <w:rsid w:val="00726D31"/>
    <w:rsid w:val="00731988"/>
    <w:rsid w:val="0073370B"/>
    <w:rsid w:val="00743496"/>
    <w:rsid w:val="00744254"/>
    <w:rsid w:val="007519BC"/>
    <w:rsid w:val="00752268"/>
    <w:rsid w:val="00753A42"/>
    <w:rsid w:val="00754F08"/>
    <w:rsid w:val="00761E7B"/>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81B"/>
    <w:rsid w:val="007D6D28"/>
    <w:rsid w:val="007E08AF"/>
    <w:rsid w:val="007E1586"/>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CA0"/>
    <w:rsid w:val="0081727A"/>
    <w:rsid w:val="00817BEF"/>
    <w:rsid w:val="00817EC2"/>
    <w:rsid w:val="008238DA"/>
    <w:rsid w:val="00824DF3"/>
    <w:rsid w:val="00826BDC"/>
    <w:rsid w:val="0082765D"/>
    <w:rsid w:val="008310D6"/>
    <w:rsid w:val="00831485"/>
    <w:rsid w:val="008333AC"/>
    <w:rsid w:val="00836151"/>
    <w:rsid w:val="00857647"/>
    <w:rsid w:val="008609D8"/>
    <w:rsid w:val="0086149D"/>
    <w:rsid w:val="0086187A"/>
    <w:rsid w:val="00862612"/>
    <w:rsid w:val="008637AB"/>
    <w:rsid w:val="0087258F"/>
    <w:rsid w:val="00877055"/>
    <w:rsid w:val="00880C8A"/>
    <w:rsid w:val="0088118F"/>
    <w:rsid w:val="00884E02"/>
    <w:rsid w:val="00885B6E"/>
    <w:rsid w:val="00893E59"/>
    <w:rsid w:val="00895241"/>
    <w:rsid w:val="00895BC8"/>
    <w:rsid w:val="0089771D"/>
    <w:rsid w:val="00897A18"/>
    <w:rsid w:val="00897D8B"/>
    <w:rsid w:val="008A2028"/>
    <w:rsid w:val="008A367B"/>
    <w:rsid w:val="008A3F8C"/>
    <w:rsid w:val="008A4B12"/>
    <w:rsid w:val="008A4B4E"/>
    <w:rsid w:val="008B10AF"/>
    <w:rsid w:val="008B12B3"/>
    <w:rsid w:val="008B4B7F"/>
    <w:rsid w:val="008B5459"/>
    <w:rsid w:val="008B614B"/>
    <w:rsid w:val="008C03EF"/>
    <w:rsid w:val="008C45A7"/>
    <w:rsid w:val="008C5A6B"/>
    <w:rsid w:val="008C61C5"/>
    <w:rsid w:val="008D06DD"/>
    <w:rsid w:val="008D0B5E"/>
    <w:rsid w:val="008D1C67"/>
    <w:rsid w:val="008E2A5D"/>
    <w:rsid w:val="008F0CB4"/>
    <w:rsid w:val="008F1F01"/>
    <w:rsid w:val="008F2635"/>
    <w:rsid w:val="008F5215"/>
    <w:rsid w:val="008F5D66"/>
    <w:rsid w:val="008F7361"/>
    <w:rsid w:val="008F782D"/>
    <w:rsid w:val="0090072C"/>
    <w:rsid w:val="0090292F"/>
    <w:rsid w:val="00904E92"/>
    <w:rsid w:val="00910106"/>
    <w:rsid w:val="009119FD"/>
    <w:rsid w:val="009131EE"/>
    <w:rsid w:val="00913D5E"/>
    <w:rsid w:val="009141FF"/>
    <w:rsid w:val="009178D1"/>
    <w:rsid w:val="00921B8D"/>
    <w:rsid w:val="00924824"/>
    <w:rsid w:val="0092721D"/>
    <w:rsid w:val="00933F9B"/>
    <w:rsid w:val="0093570D"/>
    <w:rsid w:val="00936EC3"/>
    <w:rsid w:val="00941531"/>
    <w:rsid w:val="00965ACE"/>
    <w:rsid w:val="00973C71"/>
    <w:rsid w:val="00980BD8"/>
    <w:rsid w:val="00987098"/>
    <w:rsid w:val="00987DDE"/>
    <w:rsid w:val="0099033C"/>
    <w:rsid w:val="009955E4"/>
    <w:rsid w:val="009A1B07"/>
    <w:rsid w:val="009A3C15"/>
    <w:rsid w:val="009A3D8F"/>
    <w:rsid w:val="009B0024"/>
    <w:rsid w:val="009B2C6D"/>
    <w:rsid w:val="009B3F12"/>
    <w:rsid w:val="009B65C2"/>
    <w:rsid w:val="009C37CE"/>
    <w:rsid w:val="009C37EF"/>
    <w:rsid w:val="009C5989"/>
    <w:rsid w:val="009C649A"/>
    <w:rsid w:val="009C6C6B"/>
    <w:rsid w:val="009D0ECC"/>
    <w:rsid w:val="009D7B14"/>
    <w:rsid w:val="009E0226"/>
    <w:rsid w:val="009E15E9"/>
    <w:rsid w:val="009E1C38"/>
    <w:rsid w:val="009E1ECD"/>
    <w:rsid w:val="009E2177"/>
    <w:rsid w:val="009E2879"/>
    <w:rsid w:val="009E2F66"/>
    <w:rsid w:val="009E5009"/>
    <w:rsid w:val="009E7505"/>
    <w:rsid w:val="009F160C"/>
    <w:rsid w:val="009F2DEF"/>
    <w:rsid w:val="009F4B15"/>
    <w:rsid w:val="009F6275"/>
    <w:rsid w:val="00A026A1"/>
    <w:rsid w:val="00A047DB"/>
    <w:rsid w:val="00A04BED"/>
    <w:rsid w:val="00A0572D"/>
    <w:rsid w:val="00A068C2"/>
    <w:rsid w:val="00A125FB"/>
    <w:rsid w:val="00A16BEB"/>
    <w:rsid w:val="00A21026"/>
    <w:rsid w:val="00A2375A"/>
    <w:rsid w:val="00A2652A"/>
    <w:rsid w:val="00A351EE"/>
    <w:rsid w:val="00A404BF"/>
    <w:rsid w:val="00A40621"/>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5756"/>
    <w:rsid w:val="00AE0911"/>
    <w:rsid w:val="00AE7F13"/>
    <w:rsid w:val="00AF3A05"/>
    <w:rsid w:val="00AF3F31"/>
    <w:rsid w:val="00AF60B0"/>
    <w:rsid w:val="00AF7B5B"/>
    <w:rsid w:val="00B019A4"/>
    <w:rsid w:val="00B11943"/>
    <w:rsid w:val="00B1240D"/>
    <w:rsid w:val="00B136F3"/>
    <w:rsid w:val="00B16CA9"/>
    <w:rsid w:val="00B17F57"/>
    <w:rsid w:val="00B21CD8"/>
    <w:rsid w:val="00B232C7"/>
    <w:rsid w:val="00B23F42"/>
    <w:rsid w:val="00B24FCF"/>
    <w:rsid w:val="00B26A91"/>
    <w:rsid w:val="00B33CB8"/>
    <w:rsid w:val="00B47531"/>
    <w:rsid w:val="00B47FB9"/>
    <w:rsid w:val="00B53576"/>
    <w:rsid w:val="00B56CC3"/>
    <w:rsid w:val="00B640E2"/>
    <w:rsid w:val="00B646B1"/>
    <w:rsid w:val="00B733F3"/>
    <w:rsid w:val="00B80114"/>
    <w:rsid w:val="00B8125B"/>
    <w:rsid w:val="00B84157"/>
    <w:rsid w:val="00B841CA"/>
    <w:rsid w:val="00B8480A"/>
    <w:rsid w:val="00B8645C"/>
    <w:rsid w:val="00B86809"/>
    <w:rsid w:val="00B942CE"/>
    <w:rsid w:val="00B957EE"/>
    <w:rsid w:val="00B95991"/>
    <w:rsid w:val="00BA1A49"/>
    <w:rsid w:val="00BA3D88"/>
    <w:rsid w:val="00BA7E0F"/>
    <w:rsid w:val="00BB0CB2"/>
    <w:rsid w:val="00BB0F0E"/>
    <w:rsid w:val="00BB3D3A"/>
    <w:rsid w:val="00BB445C"/>
    <w:rsid w:val="00BB6403"/>
    <w:rsid w:val="00BB7629"/>
    <w:rsid w:val="00BC2929"/>
    <w:rsid w:val="00BC370A"/>
    <w:rsid w:val="00BD1FC4"/>
    <w:rsid w:val="00BE12F5"/>
    <w:rsid w:val="00BE69FB"/>
    <w:rsid w:val="00BF1DC9"/>
    <w:rsid w:val="00BF34AD"/>
    <w:rsid w:val="00BF38ED"/>
    <w:rsid w:val="00C0027F"/>
    <w:rsid w:val="00C02A3A"/>
    <w:rsid w:val="00C03986"/>
    <w:rsid w:val="00C110A1"/>
    <w:rsid w:val="00C155D7"/>
    <w:rsid w:val="00C1694F"/>
    <w:rsid w:val="00C17E6F"/>
    <w:rsid w:val="00C17E97"/>
    <w:rsid w:val="00C2038E"/>
    <w:rsid w:val="00C239D1"/>
    <w:rsid w:val="00C244D1"/>
    <w:rsid w:val="00C26B00"/>
    <w:rsid w:val="00C31C5E"/>
    <w:rsid w:val="00C3737C"/>
    <w:rsid w:val="00C40848"/>
    <w:rsid w:val="00C46542"/>
    <w:rsid w:val="00C46733"/>
    <w:rsid w:val="00C46BF9"/>
    <w:rsid w:val="00C47BDD"/>
    <w:rsid w:val="00C5205D"/>
    <w:rsid w:val="00C57509"/>
    <w:rsid w:val="00C64AA0"/>
    <w:rsid w:val="00C661E9"/>
    <w:rsid w:val="00C67110"/>
    <w:rsid w:val="00C81DFD"/>
    <w:rsid w:val="00C91104"/>
    <w:rsid w:val="00C9122D"/>
    <w:rsid w:val="00C93762"/>
    <w:rsid w:val="00CA1C4D"/>
    <w:rsid w:val="00CA49FF"/>
    <w:rsid w:val="00CA50CB"/>
    <w:rsid w:val="00CA5781"/>
    <w:rsid w:val="00CA6F02"/>
    <w:rsid w:val="00CB5A88"/>
    <w:rsid w:val="00CB6173"/>
    <w:rsid w:val="00CB736A"/>
    <w:rsid w:val="00CC0B1E"/>
    <w:rsid w:val="00CD1819"/>
    <w:rsid w:val="00CE0B13"/>
    <w:rsid w:val="00CE1A75"/>
    <w:rsid w:val="00CE227F"/>
    <w:rsid w:val="00CE3697"/>
    <w:rsid w:val="00CE3F8D"/>
    <w:rsid w:val="00CE6FD1"/>
    <w:rsid w:val="00CF3354"/>
    <w:rsid w:val="00CF5A53"/>
    <w:rsid w:val="00D00D58"/>
    <w:rsid w:val="00D0255F"/>
    <w:rsid w:val="00D0454B"/>
    <w:rsid w:val="00D06C1E"/>
    <w:rsid w:val="00D11450"/>
    <w:rsid w:val="00D1145E"/>
    <w:rsid w:val="00D15469"/>
    <w:rsid w:val="00D16031"/>
    <w:rsid w:val="00D163AD"/>
    <w:rsid w:val="00D167C9"/>
    <w:rsid w:val="00D16E1B"/>
    <w:rsid w:val="00D17B60"/>
    <w:rsid w:val="00D20B76"/>
    <w:rsid w:val="00D215A4"/>
    <w:rsid w:val="00D273F6"/>
    <w:rsid w:val="00D313D1"/>
    <w:rsid w:val="00D328B1"/>
    <w:rsid w:val="00D3551E"/>
    <w:rsid w:val="00D401AA"/>
    <w:rsid w:val="00D40D1A"/>
    <w:rsid w:val="00D40F0D"/>
    <w:rsid w:val="00D424D2"/>
    <w:rsid w:val="00D42D95"/>
    <w:rsid w:val="00D51D30"/>
    <w:rsid w:val="00D51E64"/>
    <w:rsid w:val="00D54B00"/>
    <w:rsid w:val="00D55F7C"/>
    <w:rsid w:val="00D564DB"/>
    <w:rsid w:val="00D62AB7"/>
    <w:rsid w:val="00D70201"/>
    <w:rsid w:val="00D7284A"/>
    <w:rsid w:val="00D729AA"/>
    <w:rsid w:val="00D74598"/>
    <w:rsid w:val="00D775A9"/>
    <w:rsid w:val="00D80262"/>
    <w:rsid w:val="00D831AA"/>
    <w:rsid w:val="00D83616"/>
    <w:rsid w:val="00D86028"/>
    <w:rsid w:val="00D87E6B"/>
    <w:rsid w:val="00D92127"/>
    <w:rsid w:val="00D921CF"/>
    <w:rsid w:val="00D9756E"/>
    <w:rsid w:val="00DA09C7"/>
    <w:rsid w:val="00DA425C"/>
    <w:rsid w:val="00DA48B4"/>
    <w:rsid w:val="00DA536F"/>
    <w:rsid w:val="00DA661C"/>
    <w:rsid w:val="00DA66CB"/>
    <w:rsid w:val="00DA6B0D"/>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3288"/>
    <w:rsid w:val="00DE5333"/>
    <w:rsid w:val="00DE6D22"/>
    <w:rsid w:val="00DE7EE8"/>
    <w:rsid w:val="00DF186B"/>
    <w:rsid w:val="00E000FC"/>
    <w:rsid w:val="00E00D32"/>
    <w:rsid w:val="00E00EB4"/>
    <w:rsid w:val="00E02CC7"/>
    <w:rsid w:val="00E14FA2"/>
    <w:rsid w:val="00E168B0"/>
    <w:rsid w:val="00E17D24"/>
    <w:rsid w:val="00E4041E"/>
    <w:rsid w:val="00E416A2"/>
    <w:rsid w:val="00E4222C"/>
    <w:rsid w:val="00E44360"/>
    <w:rsid w:val="00E45A62"/>
    <w:rsid w:val="00E518C9"/>
    <w:rsid w:val="00E56BE5"/>
    <w:rsid w:val="00E618E6"/>
    <w:rsid w:val="00E62A75"/>
    <w:rsid w:val="00E62B96"/>
    <w:rsid w:val="00E63A70"/>
    <w:rsid w:val="00E64B96"/>
    <w:rsid w:val="00E67962"/>
    <w:rsid w:val="00E72052"/>
    <w:rsid w:val="00E73AD5"/>
    <w:rsid w:val="00E76C9B"/>
    <w:rsid w:val="00E85D5D"/>
    <w:rsid w:val="00E90FE3"/>
    <w:rsid w:val="00E91C18"/>
    <w:rsid w:val="00E947FC"/>
    <w:rsid w:val="00EA603A"/>
    <w:rsid w:val="00EB1367"/>
    <w:rsid w:val="00EB31CA"/>
    <w:rsid w:val="00EB6DF0"/>
    <w:rsid w:val="00EC1485"/>
    <w:rsid w:val="00EC19F3"/>
    <w:rsid w:val="00EC262E"/>
    <w:rsid w:val="00EC76ED"/>
    <w:rsid w:val="00ED0A3D"/>
    <w:rsid w:val="00ED12D4"/>
    <w:rsid w:val="00ED1562"/>
    <w:rsid w:val="00ED1AB6"/>
    <w:rsid w:val="00ED25E6"/>
    <w:rsid w:val="00EE1A4E"/>
    <w:rsid w:val="00EE2275"/>
    <w:rsid w:val="00EE25AA"/>
    <w:rsid w:val="00EE528C"/>
    <w:rsid w:val="00EE5616"/>
    <w:rsid w:val="00EE5FE2"/>
    <w:rsid w:val="00EF055F"/>
    <w:rsid w:val="00EF08EC"/>
    <w:rsid w:val="00EF2859"/>
    <w:rsid w:val="00EF6A83"/>
    <w:rsid w:val="00F06997"/>
    <w:rsid w:val="00F12C43"/>
    <w:rsid w:val="00F14B9B"/>
    <w:rsid w:val="00F16C42"/>
    <w:rsid w:val="00F217A5"/>
    <w:rsid w:val="00F2356B"/>
    <w:rsid w:val="00F24D7B"/>
    <w:rsid w:val="00F25EAC"/>
    <w:rsid w:val="00F3085F"/>
    <w:rsid w:val="00F33A95"/>
    <w:rsid w:val="00F33C17"/>
    <w:rsid w:val="00F40B3E"/>
    <w:rsid w:val="00F43AA3"/>
    <w:rsid w:val="00F462CD"/>
    <w:rsid w:val="00F46BEB"/>
    <w:rsid w:val="00F47A3E"/>
    <w:rsid w:val="00F525A0"/>
    <w:rsid w:val="00F57BCF"/>
    <w:rsid w:val="00F607E8"/>
    <w:rsid w:val="00F60B94"/>
    <w:rsid w:val="00F63A4D"/>
    <w:rsid w:val="00F642B0"/>
    <w:rsid w:val="00F64D6C"/>
    <w:rsid w:val="00F67A86"/>
    <w:rsid w:val="00F71771"/>
    <w:rsid w:val="00F7339C"/>
    <w:rsid w:val="00F74A32"/>
    <w:rsid w:val="00F760D8"/>
    <w:rsid w:val="00F77A01"/>
    <w:rsid w:val="00F8191F"/>
    <w:rsid w:val="00F83536"/>
    <w:rsid w:val="00F8455E"/>
    <w:rsid w:val="00F86C31"/>
    <w:rsid w:val="00F9011B"/>
    <w:rsid w:val="00F92D77"/>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Ind w:w="0" w:type="dxa"/>
      <w:tblCellMar>
        <w:top w:w="0" w:type="dxa"/>
        <w:left w:w="103" w:type="dxa"/>
        <w:bottom w:w="0" w:type="dxa"/>
        <w:right w:w="115" w:type="dxa"/>
      </w:tblCellMar>
    </w:tblPr>
  </w:style>
  <w:style w:type="table" w:customStyle="1" w:styleId="a0">
    <w:basedOn w:val="Tabelanormal"/>
    <w:tblPr>
      <w:tblStyleRowBandSize w:val="1"/>
      <w:tblStyleColBandSize w:val="1"/>
      <w:tblInd w:w="0" w:type="dxa"/>
      <w:tblCellMar>
        <w:top w:w="55" w:type="dxa"/>
        <w:left w:w="54" w:type="dxa"/>
        <w:bottom w:w="55" w:type="dxa"/>
        <w:right w:w="55" w:type="dxa"/>
      </w:tblCellMar>
    </w:tblPr>
  </w:style>
  <w:style w:type="table" w:customStyle="1" w:styleId="a1">
    <w:basedOn w:val="Tabelanormal"/>
    <w:tblPr>
      <w:tblStyleRowBandSize w:val="1"/>
      <w:tblStyleColBandSize w:val="1"/>
      <w:tblInd w:w="0" w:type="dxa"/>
      <w:tblCellMar>
        <w:top w:w="55" w:type="dxa"/>
        <w:left w:w="54" w:type="dxa"/>
        <w:bottom w:w="55" w:type="dxa"/>
        <w:right w:w="55" w:type="dxa"/>
      </w:tblCellMar>
    </w:tblPr>
  </w:style>
  <w:style w:type="table" w:customStyle="1" w:styleId="a2">
    <w:basedOn w:val="Tabelanormal"/>
    <w:tblPr>
      <w:tblStyleRowBandSize w:val="1"/>
      <w:tblStyleColBandSize w:val="1"/>
      <w:tblInd w:w="0" w:type="dxa"/>
      <w:tblCellMar>
        <w:top w:w="100" w:type="dxa"/>
        <w:left w:w="100" w:type="dxa"/>
        <w:bottom w:w="100" w:type="dxa"/>
        <w:right w:w="100" w:type="dxa"/>
      </w:tblCellMar>
    </w:tblPr>
  </w:style>
  <w:style w:type="table" w:customStyle="1" w:styleId="a3">
    <w:basedOn w:val="Tabelanormal"/>
    <w:tblPr>
      <w:tblStyleRowBandSize w:val="1"/>
      <w:tblStyleColBandSize w:val="1"/>
      <w:tblInd w:w="0" w:type="dxa"/>
      <w:tblCellMar>
        <w:top w:w="100" w:type="dxa"/>
        <w:left w:w="100" w:type="dxa"/>
        <w:bottom w:w="100" w:type="dxa"/>
        <w:right w:w="100" w:type="dxa"/>
      </w:tblCellMar>
    </w:tblPr>
  </w:style>
  <w:style w:type="table" w:customStyle="1" w:styleId="a4">
    <w:basedOn w:val="Tabelanormal"/>
    <w:tblPr>
      <w:tblStyleRowBandSize w:val="1"/>
      <w:tblStyleColBandSize w:val="1"/>
      <w:tblInd w:w="0" w:type="dxa"/>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Style13">
    <w:name w:val="_Style 13"/>
    <w:basedOn w:val="Tabelanormal"/>
    <w:qFormat/>
    <w:rsid w:val="00596439"/>
    <w:rPr>
      <w:rFonts w:ascii="Calibri" w:eastAsia="Calibri" w:hAnsi="Calibri" w:cs="Calibri"/>
      <w:sz w:val="20"/>
      <w:szCs w:val="20"/>
    </w:rPr>
    <w:tblPr>
      <w:tblInd w:w="0" w:type="dxa"/>
      <w:tblCellMar>
        <w:top w:w="0" w:type="dxa"/>
        <w:left w:w="83"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s://www.planalto.gov.br/ccivil_03/decreto-lei/del5452.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normas.receita.fazenda.gov.br/sijut2consulta/link.action?visao=anotado&amp;idAto=56753" TargetMode="External"/><Relationship Id="rId33"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idAto=15937"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21149-03D3-427F-BD91-1E1C2C15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6115</Words>
  <Characters>33027</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Admin</cp:lastModifiedBy>
  <cp:revision>8</cp:revision>
  <cp:lastPrinted>2024-07-18T15:18:00Z</cp:lastPrinted>
  <dcterms:created xsi:type="dcterms:W3CDTF">2024-04-15T17:00:00Z</dcterms:created>
  <dcterms:modified xsi:type="dcterms:W3CDTF">2024-07-18T15:18:00Z</dcterms:modified>
</cp:coreProperties>
</file>